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75A5" w:rsidRDefault="001C75A5" w:rsidP="001C75A5"/>
    <w:p w:rsidR="00E71433" w:rsidRDefault="00E71433" w:rsidP="001C75A5">
      <w:pPr>
        <w:rPr>
          <w:b/>
          <w:bCs/>
        </w:rPr>
      </w:pPr>
    </w:p>
    <w:p w:rsidR="00364F60" w:rsidRDefault="00364F60" w:rsidP="001C75A5">
      <w:pPr>
        <w:rPr>
          <w:b/>
          <w:bCs/>
        </w:rPr>
      </w:pPr>
    </w:p>
    <w:p w:rsidR="00364F60" w:rsidRDefault="00364F60" w:rsidP="001C75A5">
      <w:pPr>
        <w:rPr>
          <w:b/>
          <w:bCs/>
        </w:rPr>
      </w:pPr>
    </w:p>
    <w:p w:rsidR="00364F60" w:rsidRDefault="00364F60" w:rsidP="001C75A5">
      <w:pPr>
        <w:rPr>
          <w:b/>
          <w:bCs/>
        </w:rPr>
      </w:pPr>
    </w:p>
    <w:p w:rsidR="00F64A85" w:rsidRDefault="00F64A85" w:rsidP="00176981">
      <w:r>
        <w:t>Stockholm 2021-02-26</w:t>
      </w:r>
    </w:p>
    <w:p w:rsidR="00364F60" w:rsidRDefault="00364F60" w:rsidP="001C75A5">
      <w:pPr>
        <w:rPr>
          <w:b/>
          <w:bCs/>
        </w:rPr>
      </w:pPr>
    </w:p>
    <w:p w:rsidR="001C75A5" w:rsidRPr="00F068F8" w:rsidRDefault="00C91ABD" w:rsidP="001C75A5">
      <w:pPr>
        <w:rPr>
          <w:b/>
          <w:bCs/>
          <w:sz w:val="40"/>
          <w:szCs w:val="40"/>
          <w:u w:val="single"/>
        </w:rPr>
      </w:pPr>
      <w:r w:rsidRPr="00F068F8">
        <w:rPr>
          <w:b/>
          <w:bCs/>
          <w:sz w:val="40"/>
          <w:szCs w:val="40"/>
          <w:u w:val="single"/>
        </w:rPr>
        <w:t>1177 – en jämförelse</w:t>
      </w:r>
    </w:p>
    <w:p w:rsidR="00C91ABD" w:rsidRDefault="00C91ABD" w:rsidP="001C75A5"/>
    <w:p w:rsidR="00EA526F" w:rsidRPr="00FC2AD8" w:rsidRDefault="00EA526F" w:rsidP="001C75A5">
      <w:pPr>
        <w:rPr>
          <w:b/>
          <w:bCs/>
          <w:i/>
          <w:iCs/>
          <w:sz w:val="24"/>
          <w:szCs w:val="24"/>
        </w:rPr>
      </w:pPr>
      <w:r w:rsidRPr="00FC2AD8">
        <w:rPr>
          <w:b/>
          <w:bCs/>
          <w:i/>
          <w:iCs/>
          <w:sz w:val="24"/>
          <w:szCs w:val="24"/>
        </w:rPr>
        <w:t>Syfte/bakgrund:</w:t>
      </w:r>
    </w:p>
    <w:p w:rsidR="00C91ABD" w:rsidRDefault="000409A7" w:rsidP="001C75A5">
      <w:r>
        <w:t xml:space="preserve">I diskussionerna kring 1177 framförs att Stockholm har </w:t>
      </w:r>
      <w:r w:rsidR="00EF2A52">
        <w:t>en</w:t>
      </w:r>
      <w:r>
        <w:t xml:space="preserve"> effektiv </w:t>
      </w:r>
      <w:r w:rsidR="00C509E0">
        <w:t xml:space="preserve">rådgivning i 1177 med bland annat kortast väntetider </w:t>
      </w:r>
      <w:r w:rsidR="00583A6E">
        <w:t xml:space="preserve">men </w:t>
      </w:r>
      <w:r w:rsidR="00B456E8">
        <w:t xml:space="preserve">tros det </w:t>
      </w:r>
      <w:r w:rsidR="00C509E0">
        <w:t>lika hög kvalitet</w:t>
      </w:r>
      <w:r w:rsidR="00B456E8">
        <w:t xml:space="preserve"> som övriga regioner</w:t>
      </w:r>
      <w:r w:rsidR="00C509E0">
        <w:t xml:space="preserve">. </w:t>
      </w:r>
      <w:r w:rsidR="00545851">
        <w:t>Vad kvalitet i detta sammanhang betyder kan förstås diskuteras</w:t>
      </w:r>
      <w:r w:rsidR="0048201B">
        <w:t xml:space="preserve">. Om råden dock endast innebär en hänvisning att söka akut, särskilt </w:t>
      </w:r>
      <w:r w:rsidR="00D02E15">
        <w:t>om detta inte är befogat, kan kvaliteten förstås ifrågasättas.</w:t>
      </w:r>
      <w:r w:rsidR="00B9703E">
        <w:t xml:space="preserve"> Med syftet att ta reda på om Stockholm </w:t>
      </w:r>
      <w:r w:rsidR="00C61766">
        <w:t xml:space="preserve">håller en hög kvalitet har </w:t>
      </w:r>
      <w:r w:rsidR="00B36FC6">
        <w:t>Distriktsläkarföreningen i Stockholm</w:t>
      </w:r>
      <w:r w:rsidR="00C61766">
        <w:t xml:space="preserve"> valt att jämföra antalet</w:t>
      </w:r>
      <w:r w:rsidR="00CE4577">
        <w:t xml:space="preserve"> s</w:t>
      </w:r>
      <w:r w:rsidR="00C61766">
        <w:t xml:space="preserve">amtal till 1177 och vart samtalen hänvisats mellan </w:t>
      </w:r>
      <w:r w:rsidR="00CE4577">
        <w:t>landets största regioner.</w:t>
      </w:r>
    </w:p>
    <w:p w:rsidR="00C91ABD" w:rsidRDefault="00C91ABD" w:rsidP="001C75A5"/>
    <w:p w:rsidR="00431707" w:rsidRPr="00FC2AD8" w:rsidRDefault="001C75A5" w:rsidP="001C75A5">
      <w:pPr>
        <w:rPr>
          <w:b/>
          <w:bCs/>
          <w:i/>
          <w:iCs/>
          <w:sz w:val="24"/>
          <w:szCs w:val="24"/>
        </w:rPr>
      </w:pPr>
      <w:r w:rsidRPr="00FC2AD8">
        <w:rPr>
          <w:b/>
          <w:bCs/>
          <w:i/>
          <w:iCs/>
          <w:sz w:val="24"/>
          <w:szCs w:val="24"/>
        </w:rPr>
        <w:t>M</w:t>
      </w:r>
      <w:r w:rsidR="00431707" w:rsidRPr="00FC2AD8">
        <w:rPr>
          <w:b/>
          <w:bCs/>
          <w:i/>
          <w:iCs/>
          <w:sz w:val="24"/>
          <w:szCs w:val="24"/>
        </w:rPr>
        <w:t>etod:</w:t>
      </w:r>
    </w:p>
    <w:p w:rsidR="001F6767" w:rsidRDefault="00431707" w:rsidP="001C75A5">
      <w:r>
        <w:t xml:space="preserve">Statiskt från regionerna </w:t>
      </w:r>
      <w:r w:rsidR="002977B0">
        <w:t xml:space="preserve">för 2020 </w:t>
      </w:r>
      <w:r>
        <w:t xml:space="preserve">efterfrågades via </w:t>
      </w:r>
      <w:r w:rsidR="002977B0">
        <w:t xml:space="preserve">regionernas </w:t>
      </w:r>
      <w:r>
        <w:t>presstjänst</w:t>
      </w:r>
      <w:r w:rsidR="009D4417">
        <w:t xml:space="preserve">. Region VGR redovisade dock </w:t>
      </w:r>
      <w:r w:rsidR="00023B60">
        <w:t xml:space="preserve">åtgärder endast för </w:t>
      </w:r>
      <w:r w:rsidR="009D4417">
        <w:t>2019,</w:t>
      </w:r>
      <w:r w:rsidR="00EB464F">
        <w:t xml:space="preserve"> varför dessa använts i procent, men siffrorna uppdaterats med rätt antal samtal</w:t>
      </w:r>
      <w:r w:rsidR="001F6767">
        <w:t>. Vi har helt enkelt antagit att mönstret är detsamma 2020 som 2019.</w:t>
      </w:r>
      <w:r w:rsidR="006354D5">
        <w:t xml:space="preserve"> I Region Stockholm är procentandelarna som hänvisas till olika insatser förhållandevis </w:t>
      </w:r>
      <w:r w:rsidR="00AD3BCF">
        <w:t xml:space="preserve">oförändrad </w:t>
      </w:r>
      <w:proofErr w:type="spellStart"/>
      <w:r w:rsidR="00AD3BCF">
        <w:t>pandemiåret</w:t>
      </w:r>
      <w:proofErr w:type="spellEnd"/>
      <w:r w:rsidR="00AD3BCF">
        <w:t xml:space="preserve"> 2020 jämfört med 2019, även om antalet samtal varit högre.</w:t>
      </w:r>
    </w:p>
    <w:p w:rsidR="00AD3BCF" w:rsidRDefault="00AD3BCF" w:rsidP="001C75A5"/>
    <w:p w:rsidR="001C75A5" w:rsidRDefault="002F2E74" w:rsidP="001C75A5">
      <w:r>
        <w:t xml:space="preserve"> Regionerna har </w:t>
      </w:r>
      <w:r w:rsidR="00BC0811">
        <w:t xml:space="preserve">dokumenterat </w:t>
      </w:r>
      <w:r w:rsidR="007F1678">
        <w:t xml:space="preserve"> </w:t>
      </w:r>
      <w:r w:rsidR="00D03546">
        <w:t>hänvisningar</w:t>
      </w:r>
      <w:r w:rsidR="007F1678">
        <w:t xml:space="preserve"> </w:t>
      </w:r>
      <w:r w:rsidR="00BC0811">
        <w:t>på något olika sätt</w:t>
      </w:r>
      <w:r w:rsidR="005A2905">
        <w:t xml:space="preserve"> </w:t>
      </w:r>
      <w:r w:rsidR="000030E8">
        <w:t xml:space="preserve">gällande framförallt den akuta. Vården, men även primärvården </w:t>
      </w:r>
      <w:r w:rsidR="005A2905">
        <w:t xml:space="preserve">(vårdnivå, </w:t>
      </w:r>
      <w:proofErr w:type="spellStart"/>
      <w:r w:rsidR="005A2905">
        <w:t>brådskandegrad</w:t>
      </w:r>
      <w:proofErr w:type="spellEnd"/>
      <w:r w:rsidR="005A2905">
        <w:t>)</w:t>
      </w:r>
      <w:r w:rsidR="007F1678">
        <w:t xml:space="preserve"> </w:t>
      </w:r>
      <w:r w:rsidR="005A2905">
        <w:t>varför en viss</w:t>
      </w:r>
      <w:r w:rsidR="00577D3E">
        <w:t xml:space="preserve"> ”tolkning” behövt göras. Tex anger</w:t>
      </w:r>
      <w:r w:rsidR="00E1195D">
        <w:t xml:space="preserve"> </w:t>
      </w:r>
      <w:r w:rsidR="00583A6E">
        <w:t>Stockholm</w:t>
      </w:r>
      <w:r w:rsidR="003C59F0">
        <w:t xml:space="preserve"> </w:t>
      </w:r>
      <w:r w:rsidR="00832EEF">
        <w:t>”</w:t>
      </w:r>
      <w:r w:rsidR="003C59F0">
        <w:t>112</w:t>
      </w:r>
      <w:r w:rsidR="00832EEF">
        <w:t>”</w:t>
      </w:r>
      <w:r w:rsidR="003C59F0">
        <w:t xml:space="preserve">, </w:t>
      </w:r>
      <w:r w:rsidR="00832EEF">
        <w:t>”</w:t>
      </w:r>
      <w:r w:rsidR="00B56748">
        <w:t>akutmottagning</w:t>
      </w:r>
      <w:r w:rsidR="00832EEF">
        <w:t>”</w:t>
      </w:r>
      <w:r w:rsidR="00B56748">
        <w:t xml:space="preserve"> och </w:t>
      </w:r>
      <w:r w:rsidR="00832EEF">
        <w:t>”</w:t>
      </w:r>
      <w:r w:rsidR="00B56748">
        <w:t>näraku</w:t>
      </w:r>
      <w:r w:rsidR="00432074">
        <w:t>t</w:t>
      </w:r>
      <w:r w:rsidR="00832EEF">
        <w:t>”</w:t>
      </w:r>
      <w:r w:rsidR="00432074">
        <w:t xml:space="preserve">, medan region Skåne anger </w:t>
      </w:r>
      <w:r w:rsidR="00832EEF">
        <w:t>”</w:t>
      </w:r>
      <w:r w:rsidR="00E1195D">
        <w:t>Omgående</w:t>
      </w:r>
      <w:r w:rsidR="00832EEF">
        <w:t>”</w:t>
      </w:r>
      <w:r w:rsidR="00E1195D">
        <w:t>,</w:t>
      </w:r>
      <w:r w:rsidR="000D3343">
        <w:t xml:space="preserve"> </w:t>
      </w:r>
      <w:r w:rsidR="00832EEF">
        <w:t>”</w:t>
      </w:r>
      <w:r w:rsidR="00E1195D">
        <w:t>Skyndsamt</w:t>
      </w:r>
      <w:r w:rsidR="00832EEF">
        <w:t>”</w:t>
      </w:r>
      <w:r w:rsidR="00E1195D">
        <w:t xml:space="preserve"> eller </w:t>
      </w:r>
      <w:r w:rsidR="00832EEF">
        <w:t>”</w:t>
      </w:r>
      <w:r w:rsidR="00E1195D">
        <w:t>Närmaste dygnet</w:t>
      </w:r>
      <w:r w:rsidR="00832EEF">
        <w:t>”</w:t>
      </w:r>
      <w:r w:rsidR="00E1195D">
        <w:t>.</w:t>
      </w:r>
      <w:r w:rsidR="00525623" w:rsidRPr="00525623">
        <w:t xml:space="preserve"> </w:t>
      </w:r>
      <w:r w:rsidR="00525623">
        <w:t xml:space="preserve">VGR anger </w:t>
      </w:r>
      <w:r w:rsidR="003734CF">
        <w:t>”</w:t>
      </w:r>
      <w:r w:rsidR="00525623">
        <w:t>ambulans</w:t>
      </w:r>
      <w:r w:rsidR="003734CF">
        <w:t>”</w:t>
      </w:r>
      <w:r w:rsidR="00525623">
        <w:t xml:space="preserve">, </w:t>
      </w:r>
      <w:r w:rsidR="003734CF">
        <w:t>”</w:t>
      </w:r>
      <w:r w:rsidR="00525623">
        <w:t>primärvård</w:t>
      </w:r>
      <w:r w:rsidR="003734CF">
        <w:t>”</w:t>
      </w:r>
      <w:r w:rsidR="00525623">
        <w:t xml:space="preserve">, </w:t>
      </w:r>
      <w:r w:rsidR="003734CF">
        <w:t>”</w:t>
      </w:r>
      <w:r w:rsidR="00525623">
        <w:t>specialistvård (olika akuter)</w:t>
      </w:r>
      <w:r w:rsidR="003734CF">
        <w:t>”</w:t>
      </w:r>
      <w:r w:rsidR="00525623">
        <w:t xml:space="preserve">. </w:t>
      </w:r>
      <w:r w:rsidR="000D3343">
        <w:t xml:space="preserve"> Vi har tolkat </w:t>
      </w:r>
      <w:r w:rsidR="000C6EA4">
        <w:t xml:space="preserve">såväl </w:t>
      </w:r>
      <w:r w:rsidR="000D3343">
        <w:t>Omgående och Skyndsamt som akut</w:t>
      </w:r>
      <w:r w:rsidR="00525623">
        <w:t xml:space="preserve"> och ambulans och 112 som synonyma</w:t>
      </w:r>
      <w:r w:rsidR="00326A57">
        <w:t xml:space="preserve"> och </w:t>
      </w:r>
      <w:r w:rsidR="005B17AB">
        <w:t>l</w:t>
      </w:r>
      <w:r w:rsidR="00597B67">
        <w:t>ikställt detta med hänvisning till en</w:t>
      </w:r>
      <w:r w:rsidR="00D55E60">
        <w:t xml:space="preserve"> </w:t>
      </w:r>
      <w:r w:rsidR="00AB251C">
        <w:t>akutmottagning.</w:t>
      </w:r>
    </w:p>
    <w:p w:rsidR="00C214B8" w:rsidRDefault="00C06383" w:rsidP="001C75A5">
      <w:r>
        <w:t>Regionerna</w:t>
      </w:r>
      <w:r w:rsidR="00F34D88">
        <w:t>s</w:t>
      </w:r>
      <w:r>
        <w:t xml:space="preserve"> r</w:t>
      </w:r>
      <w:r w:rsidR="00F34D88">
        <w:t>edovisning för</w:t>
      </w:r>
      <w:r>
        <w:t xml:space="preserve"> också </w:t>
      </w:r>
      <w:r w:rsidR="00F34D88">
        <w:t>antal samtal också delvis komplicerad</w:t>
      </w:r>
      <w:r w:rsidR="00505F1F">
        <w:t xml:space="preserve">. </w:t>
      </w:r>
      <w:r w:rsidR="00E26411">
        <w:t>M</w:t>
      </w:r>
      <w:r w:rsidR="002F6B65">
        <w:t xml:space="preserve">an hanterar </w:t>
      </w:r>
      <w:r w:rsidR="00E26411">
        <w:t xml:space="preserve">också </w:t>
      </w:r>
      <w:r w:rsidR="002F6B65">
        <w:t>samtal från andra regioner vid hög</w:t>
      </w:r>
      <w:r w:rsidR="00505F1F">
        <w:t xml:space="preserve"> b</w:t>
      </w:r>
      <w:r w:rsidR="002F6B65">
        <w:t>elastning lokalt.</w:t>
      </w:r>
      <w:r w:rsidR="00505F1F">
        <w:t xml:space="preserve"> </w:t>
      </w:r>
      <w:r w:rsidR="001830AA">
        <w:t>När vi jämför ”trycket på 1177” använder vi</w:t>
      </w:r>
      <w:r w:rsidR="00780CF8">
        <w:t xml:space="preserve"> därför antal inkommande samtal från resp region, även om alla samtal inte </w:t>
      </w:r>
      <w:r w:rsidR="00266FFD">
        <w:t>har handlagts lokalt.</w:t>
      </w:r>
      <w:r w:rsidR="00B97E60">
        <w:t xml:space="preserve"> </w:t>
      </w:r>
      <w:r w:rsidR="00A04878">
        <w:t xml:space="preserve">Antalet </w:t>
      </w:r>
      <w:r w:rsidR="00227D96">
        <w:t xml:space="preserve">inkommande samtal är större </w:t>
      </w:r>
      <w:r w:rsidR="00853411">
        <w:t>än</w:t>
      </w:r>
      <w:r w:rsidR="00227D96">
        <w:t xml:space="preserve"> antalet besvarande samtal, vilket torde bero på att vissa</w:t>
      </w:r>
      <w:r w:rsidR="00853411">
        <w:t xml:space="preserve"> </w:t>
      </w:r>
      <w:r w:rsidR="00023384">
        <w:t>inte fått svar</w:t>
      </w:r>
      <w:r w:rsidR="002A3D26">
        <w:t xml:space="preserve">, ev beroende på att vissa </w:t>
      </w:r>
      <w:r w:rsidR="00853411">
        <w:t>patienter inte orkat vänta i telefonen</w:t>
      </w:r>
      <w:r w:rsidR="001078E3">
        <w:t>.</w:t>
      </w:r>
      <w:r w:rsidR="00853411">
        <w:t xml:space="preserve"> </w:t>
      </w:r>
      <w:r w:rsidR="00B97E60">
        <w:t xml:space="preserve">Då väntetiderna också </w:t>
      </w:r>
      <w:r w:rsidR="001078E3">
        <w:t>skiljer</w:t>
      </w:r>
      <w:r w:rsidR="00A04878">
        <w:t xml:space="preserve"> si</w:t>
      </w:r>
      <w:r w:rsidR="001078E3">
        <w:t>g me</w:t>
      </w:r>
      <w:r w:rsidR="00A04878">
        <w:t>llan regionerna kan man anta</w:t>
      </w:r>
      <w:r w:rsidR="001078E3">
        <w:t xml:space="preserve"> a</w:t>
      </w:r>
      <w:r w:rsidR="00A04878">
        <w:t xml:space="preserve">tt </w:t>
      </w:r>
      <w:r w:rsidR="001078E3">
        <w:t xml:space="preserve">detta </w:t>
      </w:r>
      <w:r w:rsidR="00A04878">
        <w:t>bortfall blir större i de regioner som har längre väntetid.</w:t>
      </w:r>
      <w:r w:rsidR="003A60B7">
        <w:t xml:space="preserve"> Vad dessa patienter gjort istället vet vi förstås inget om, men vi har </w:t>
      </w:r>
      <w:r w:rsidR="0033623A">
        <w:t xml:space="preserve">för enkelhetens skull </w:t>
      </w:r>
      <w:r w:rsidR="003A60B7">
        <w:t>antagit att de skulle</w:t>
      </w:r>
      <w:r w:rsidR="0033623A">
        <w:t xml:space="preserve"> h</w:t>
      </w:r>
      <w:r w:rsidR="003A60B7">
        <w:t>andlagts ungefär som</w:t>
      </w:r>
      <w:r w:rsidR="0033623A">
        <w:t xml:space="preserve"> de övriga.</w:t>
      </w:r>
      <w:r w:rsidR="000E6890">
        <w:t xml:space="preserve"> </w:t>
      </w:r>
      <w:r w:rsidR="00352C84">
        <w:t>Det finns också den möjligheten att dessa personer ringt flera gånger</w:t>
      </w:r>
      <w:r w:rsidR="004643F9">
        <w:t>, tills de fått svar,</w:t>
      </w:r>
      <w:r w:rsidR="00352C84">
        <w:t xml:space="preserve"> och att antalet </w:t>
      </w:r>
      <w:r w:rsidR="000C35E4">
        <w:t>i</w:t>
      </w:r>
      <w:r w:rsidR="00E83440">
        <w:t xml:space="preserve">ndividuella </w:t>
      </w:r>
      <w:r w:rsidR="00352C84">
        <w:t>inkommande samt</w:t>
      </w:r>
      <w:r w:rsidR="00C51AB9">
        <w:t xml:space="preserve"> i regioner med </w:t>
      </w:r>
      <w:r w:rsidR="004643F9">
        <w:t xml:space="preserve">långa väntetider </w:t>
      </w:r>
      <w:r w:rsidR="00C51AB9">
        <w:t>därmed överskatta</w:t>
      </w:r>
      <w:r w:rsidR="00166BE7">
        <w:t>t</w:t>
      </w:r>
      <w:r w:rsidR="00C51AB9">
        <w:t>s.</w:t>
      </w:r>
    </w:p>
    <w:p w:rsidR="00326A57" w:rsidRDefault="00326A57" w:rsidP="001C75A5"/>
    <w:p w:rsidR="003E4455" w:rsidRPr="00FC2AD8" w:rsidRDefault="003E4455" w:rsidP="001C75A5">
      <w:pPr>
        <w:rPr>
          <w:b/>
          <w:bCs/>
          <w:i/>
          <w:iCs/>
          <w:sz w:val="24"/>
          <w:szCs w:val="24"/>
        </w:rPr>
      </w:pPr>
      <w:r w:rsidRPr="00FC2AD8">
        <w:rPr>
          <w:b/>
          <w:bCs/>
          <w:i/>
          <w:iCs/>
          <w:sz w:val="24"/>
          <w:szCs w:val="24"/>
        </w:rPr>
        <w:t>Resultat</w:t>
      </w:r>
      <w:r w:rsidR="00364F60" w:rsidRPr="00FC2AD8">
        <w:rPr>
          <w:b/>
          <w:bCs/>
          <w:i/>
          <w:iCs/>
          <w:sz w:val="24"/>
          <w:szCs w:val="24"/>
        </w:rPr>
        <w:t>/</w:t>
      </w:r>
      <w:r w:rsidR="00006A4A" w:rsidRPr="00FC2AD8">
        <w:rPr>
          <w:b/>
          <w:bCs/>
          <w:i/>
          <w:iCs/>
          <w:sz w:val="24"/>
          <w:szCs w:val="24"/>
        </w:rPr>
        <w:t>diskussion</w:t>
      </w:r>
      <w:r w:rsidRPr="00FC2AD8">
        <w:rPr>
          <w:b/>
          <w:bCs/>
          <w:i/>
          <w:iCs/>
          <w:sz w:val="24"/>
          <w:szCs w:val="24"/>
        </w:rPr>
        <w:t xml:space="preserve">: </w:t>
      </w:r>
    </w:p>
    <w:p w:rsidR="00025894" w:rsidRDefault="00025894" w:rsidP="001C75A5"/>
    <w:p w:rsidR="0044711F" w:rsidRPr="00180630" w:rsidRDefault="001C75A5" w:rsidP="001C75A5">
      <w:r>
        <w:t xml:space="preserve">Stockholms 1177 sticker ut. Trots att stockholmare ringer överlägset flest samtal per invånare, så ger 1177 </w:t>
      </w:r>
      <w:r w:rsidRPr="00180630">
        <w:t xml:space="preserve">här minst </w:t>
      </w:r>
      <w:proofErr w:type="spellStart"/>
      <w:r w:rsidRPr="00180630">
        <w:t>egenvårdsråd</w:t>
      </w:r>
      <w:proofErr w:type="spellEnd"/>
      <w:r w:rsidRPr="00180630">
        <w:t>, hänvisar minst till primärvård och hänvisar mest till akut jämfört med de andra tre regionerna.</w:t>
      </w:r>
      <w:r w:rsidR="0044711F" w:rsidRPr="00180630">
        <w:t xml:space="preserve"> </w:t>
      </w:r>
      <w:r w:rsidR="00303E39" w:rsidRPr="00180630">
        <w:t>Resultaten</w:t>
      </w:r>
      <w:r w:rsidR="0044711F" w:rsidRPr="00180630">
        <w:t xml:space="preserve"> motsäger de företrädare för regionen som menar att 1177:s korta svarstider inte också kombineras med lägre kvalitet.</w:t>
      </w:r>
    </w:p>
    <w:p w:rsidR="00BB757E" w:rsidRPr="00180630" w:rsidRDefault="00BB757E" w:rsidP="001C75A5"/>
    <w:p w:rsidR="00A36370" w:rsidRPr="00180630" w:rsidRDefault="00070F81" w:rsidP="00070F81">
      <w:pPr>
        <w:divId w:val="1419207375"/>
        <w:rPr>
          <w:rFonts w:eastAsia="Times New Roman" w:cs="Times New Roman"/>
          <w:color w:val="000000"/>
          <w:shd w:val="clear" w:color="auto" w:fill="FFFFFF"/>
        </w:rPr>
      </w:pPr>
      <w:r w:rsidRPr="00070F81">
        <w:rPr>
          <w:rFonts w:eastAsia="Times New Roman" w:cs="Times New Roman"/>
          <w:color w:val="000000"/>
          <w:shd w:val="clear" w:color="auto" w:fill="FFFFFF"/>
        </w:rPr>
        <w:t xml:space="preserve">Andel </w:t>
      </w:r>
      <w:proofErr w:type="spellStart"/>
      <w:r w:rsidRPr="00070F81">
        <w:rPr>
          <w:rFonts w:eastAsia="Times New Roman" w:cs="Times New Roman"/>
          <w:color w:val="000000"/>
          <w:shd w:val="clear" w:color="auto" w:fill="FFFFFF"/>
        </w:rPr>
        <w:t>egenvårdsråd</w:t>
      </w:r>
      <w:proofErr w:type="spellEnd"/>
      <w:r w:rsidRPr="00070F81">
        <w:rPr>
          <w:rFonts w:eastAsia="Times New Roman" w:cs="Times New Roman"/>
          <w:color w:val="000000"/>
          <w:shd w:val="clear" w:color="auto" w:fill="FFFFFF"/>
        </w:rPr>
        <w:t xml:space="preserve"> är nog de mest robusta siffrorna i en jämförelse.</w:t>
      </w:r>
    </w:p>
    <w:p w:rsidR="00070F81" w:rsidRPr="00070F81" w:rsidRDefault="00A36370" w:rsidP="00070F81">
      <w:pPr>
        <w:divId w:val="1419207375"/>
        <w:rPr>
          <w:rFonts w:eastAsia="Times New Roman" w:cs="Times New Roman"/>
        </w:rPr>
      </w:pPr>
      <w:r w:rsidRPr="00180630">
        <w:rPr>
          <w:rFonts w:eastAsia="Times New Roman" w:cs="Times New Roman"/>
          <w:color w:val="000000"/>
          <w:shd w:val="clear" w:color="auto" w:fill="FFFFFF"/>
        </w:rPr>
        <w:t>B</w:t>
      </w:r>
      <w:r w:rsidR="00070F81" w:rsidRPr="00070F81">
        <w:rPr>
          <w:rFonts w:eastAsia="Times New Roman" w:cs="Times New Roman"/>
          <w:color w:val="000000"/>
          <w:shd w:val="clear" w:color="auto" w:fill="FFFFFF"/>
        </w:rPr>
        <w:t xml:space="preserve">ilden blir lite grumligare när vi försöker jämföra andelen hänvisningar till akut vård respektive till primärvård i Stockholm med andra regioner, eftersom </w:t>
      </w:r>
      <w:r w:rsidRPr="00180630">
        <w:rPr>
          <w:rFonts w:eastAsia="Times New Roman" w:cs="Times New Roman"/>
          <w:color w:val="000000"/>
          <w:shd w:val="clear" w:color="auto" w:fill="FFFFFF"/>
        </w:rPr>
        <w:t>Stockholms</w:t>
      </w:r>
      <w:r w:rsidR="00070F81" w:rsidRPr="00070F81">
        <w:rPr>
          <w:rFonts w:eastAsia="Times New Roman" w:cs="Times New Roman"/>
          <w:color w:val="000000"/>
          <w:shd w:val="clear" w:color="auto" w:fill="FFFFFF"/>
        </w:rPr>
        <w:t xml:space="preserve"> närakuter delvis har ett </w:t>
      </w:r>
      <w:proofErr w:type="spellStart"/>
      <w:r w:rsidR="00070F81" w:rsidRPr="00070F81">
        <w:rPr>
          <w:rFonts w:eastAsia="Times New Roman" w:cs="Times New Roman"/>
          <w:color w:val="000000"/>
          <w:shd w:val="clear" w:color="auto" w:fill="FFFFFF"/>
        </w:rPr>
        <w:lastRenderedPageBreak/>
        <w:t>primärvårdsuppdrag</w:t>
      </w:r>
      <w:proofErr w:type="spellEnd"/>
      <w:r w:rsidR="00070F81" w:rsidRPr="00070F81">
        <w:rPr>
          <w:rFonts w:eastAsia="Times New Roman" w:cs="Times New Roman"/>
          <w:color w:val="000000"/>
          <w:shd w:val="clear" w:color="auto" w:fill="FFFFFF"/>
        </w:rPr>
        <w:t xml:space="preserve"> (”besök som inte kan anstå och som inte behöver akutsjukhusens resurser”). Vissa invånare som i Stockholm hänvisas till närakut skulle förmodligen hänvisas till motsvarande </w:t>
      </w:r>
      <w:proofErr w:type="spellStart"/>
      <w:r w:rsidR="00070F81" w:rsidRPr="00070F81">
        <w:rPr>
          <w:rFonts w:eastAsia="Times New Roman" w:cs="Times New Roman"/>
          <w:color w:val="000000"/>
          <w:shd w:val="clear" w:color="auto" w:fill="FFFFFF"/>
        </w:rPr>
        <w:t>husläkarjour</w:t>
      </w:r>
      <w:proofErr w:type="spellEnd"/>
      <w:r w:rsidR="00070F81" w:rsidRPr="00070F81">
        <w:rPr>
          <w:rFonts w:eastAsia="Times New Roman" w:cs="Times New Roman"/>
          <w:color w:val="000000"/>
          <w:shd w:val="clear" w:color="auto" w:fill="FFFFFF"/>
        </w:rPr>
        <w:t xml:space="preserve"> i andra regioner, d v s primärvård. </w:t>
      </w:r>
      <w:r w:rsidR="00180630" w:rsidRPr="00180630">
        <w:rPr>
          <w:rFonts w:eastAsia="Times New Roman" w:cs="Times New Roman"/>
          <w:color w:val="000000"/>
          <w:shd w:val="clear" w:color="auto" w:fill="FFFFFF"/>
        </w:rPr>
        <w:t xml:space="preserve">Därför är det mest meningsfullt att </w:t>
      </w:r>
      <w:r w:rsidR="00070F81" w:rsidRPr="00070F81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180630" w:rsidRPr="00180630">
        <w:rPr>
          <w:rFonts w:eastAsia="Times New Roman" w:cs="Times New Roman"/>
          <w:color w:val="000000"/>
          <w:shd w:val="clear" w:color="auto" w:fill="FFFFFF"/>
        </w:rPr>
        <w:t>jämföra</w:t>
      </w:r>
      <w:r w:rsidR="00070F81" w:rsidRPr="00070F81">
        <w:rPr>
          <w:rFonts w:eastAsia="Times New Roman" w:cs="Times New Roman"/>
          <w:color w:val="000000"/>
          <w:shd w:val="clear" w:color="auto" w:fill="FFFFFF"/>
        </w:rPr>
        <w:t xml:space="preserve"> andel </w:t>
      </w:r>
      <w:proofErr w:type="spellStart"/>
      <w:r w:rsidR="00070F81" w:rsidRPr="00070F81">
        <w:rPr>
          <w:rFonts w:eastAsia="Times New Roman" w:cs="Times New Roman"/>
          <w:color w:val="000000"/>
          <w:shd w:val="clear" w:color="auto" w:fill="FFFFFF"/>
        </w:rPr>
        <w:t>egenvårdsråd</w:t>
      </w:r>
      <w:proofErr w:type="spellEnd"/>
      <w:r w:rsidR="00070F81" w:rsidRPr="00070F81">
        <w:rPr>
          <w:rFonts w:eastAsia="Times New Roman" w:cs="Times New Roman"/>
          <w:color w:val="000000"/>
          <w:shd w:val="clear" w:color="auto" w:fill="FFFFFF"/>
        </w:rPr>
        <w:t xml:space="preserve"> vs hänvisning till vården</w:t>
      </w:r>
      <w:r w:rsidR="00180630" w:rsidRPr="00180630">
        <w:rPr>
          <w:rFonts w:eastAsia="Times New Roman" w:cs="Times New Roman"/>
          <w:color w:val="000000"/>
          <w:shd w:val="clear" w:color="auto" w:fill="FFFFFF"/>
        </w:rPr>
        <w:t>.</w:t>
      </w:r>
    </w:p>
    <w:p w:rsidR="00BB757E" w:rsidRPr="00180630" w:rsidRDefault="00BB757E" w:rsidP="001C75A5"/>
    <w:p w:rsidR="00303E39" w:rsidRPr="00180630" w:rsidRDefault="00303E39" w:rsidP="001C75A5"/>
    <w:p w:rsidR="001C75A5" w:rsidRDefault="004335BD" w:rsidP="001C75A5">
      <w:r w:rsidRPr="00180630">
        <w:t xml:space="preserve">I samtliga regioner är andelen hänvisningar </w:t>
      </w:r>
      <w:r w:rsidR="00273271">
        <w:t>till vår</w:t>
      </w:r>
      <w:r w:rsidR="00790ECE">
        <w:t>d</w:t>
      </w:r>
      <w:r w:rsidR="00273271">
        <w:t xml:space="preserve"> </w:t>
      </w:r>
      <w:r w:rsidRPr="00180630">
        <w:t xml:space="preserve">förvånade stort. </w:t>
      </w:r>
      <w:r w:rsidR="002E6ED0" w:rsidRPr="00180630">
        <w:t xml:space="preserve">Betydligt färre än hälften av samtalen </w:t>
      </w:r>
      <w:r w:rsidR="00170E47" w:rsidRPr="00180630">
        <w:t>får</w:t>
      </w:r>
      <w:r w:rsidR="002E6ED0" w:rsidRPr="00180630">
        <w:t xml:space="preserve"> </w:t>
      </w:r>
      <w:r w:rsidR="00C50E45" w:rsidRPr="00180630">
        <w:t xml:space="preserve">endast </w:t>
      </w:r>
      <w:r w:rsidR="002E6ED0" w:rsidRPr="00180630">
        <w:t xml:space="preserve">rådgivning. </w:t>
      </w:r>
      <w:r w:rsidR="00A92120" w:rsidRPr="00180630">
        <w:t xml:space="preserve">Det är också uppenbart att även invånarna </w:t>
      </w:r>
      <w:r w:rsidR="002012AA" w:rsidRPr="00180630">
        <w:t xml:space="preserve">gör bedömningen att </w:t>
      </w:r>
      <w:r w:rsidR="00273271">
        <w:t xml:space="preserve">framförallt </w:t>
      </w:r>
      <w:r w:rsidR="002012AA" w:rsidRPr="00180630">
        <w:t>de akuta hänvisninga</w:t>
      </w:r>
      <w:r w:rsidR="002012AA">
        <w:t>rna är för många</w:t>
      </w:r>
      <w:r w:rsidR="00415458">
        <w:t>, s</w:t>
      </w:r>
      <w:r w:rsidR="00045E3A">
        <w:t>ärskilt i Östergötland och Stockholm</w:t>
      </w:r>
      <w:r w:rsidR="002012AA">
        <w:t>.</w:t>
      </w:r>
      <w:r w:rsidR="00005320">
        <w:t xml:space="preserve"> Vi vet att alla akutmottagningens besökare inte varit i kontakt med 1177 innan de åkt till akuten</w:t>
      </w:r>
      <w:r w:rsidR="00FC53FA">
        <w:t>, sannolikt inte ens hälften.</w:t>
      </w:r>
      <w:r w:rsidR="00005320">
        <w:t xml:space="preserve"> </w:t>
      </w:r>
      <w:r w:rsidR="002012AA">
        <w:t xml:space="preserve"> Om invånarna i </w:t>
      </w:r>
      <w:r w:rsidR="00EE36B8">
        <w:t xml:space="preserve">tex </w:t>
      </w:r>
      <w:r w:rsidR="002012AA">
        <w:t>region Östergötland</w:t>
      </w:r>
      <w:r w:rsidR="000C4093">
        <w:t xml:space="preserve"> eller region Stockholm</w:t>
      </w:r>
      <w:r w:rsidR="002012AA">
        <w:t xml:space="preserve"> skulle följt råden från 1177 hade besöken på </w:t>
      </w:r>
      <w:r w:rsidR="00C925B4">
        <w:t xml:space="preserve">akutmottagningen varit </w:t>
      </w:r>
      <w:r w:rsidR="00045E3A">
        <w:t>må</w:t>
      </w:r>
      <w:r w:rsidR="00270AF9">
        <w:t>ngt fler än än idag.</w:t>
      </w:r>
      <w:r w:rsidR="00A56475">
        <w:t xml:space="preserve"> </w:t>
      </w:r>
      <w:r w:rsidR="002E6ED0">
        <w:t>Frågan är då om man</w:t>
      </w:r>
      <w:r w:rsidR="006D3526">
        <w:t xml:space="preserve"> istället för </w:t>
      </w:r>
      <w:r w:rsidR="00EB51FB">
        <w:t xml:space="preserve">sjukvårdsrådgivning </w:t>
      </w:r>
      <w:r w:rsidR="002E6ED0">
        <w:t xml:space="preserve">bör kalla </w:t>
      </w:r>
      <w:r w:rsidR="00D63CCB">
        <w:t xml:space="preserve">1177 </w:t>
      </w:r>
      <w:r w:rsidR="00EB51FB">
        <w:t>en</w:t>
      </w:r>
      <w:r w:rsidR="001C6F7D">
        <w:t xml:space="preserve"> hänvisningstjänst, och </w:t>
      </w:r>
      <w:r w:rsidR="00D63CCB">
        <w:t xml:space="preserve"> om det ens är möjligt att ge sjukvårdsrådgivning i telefon</w:t>
      </w:r>
      <w:r w:rsidR="00123482">
        <w:t>.</w:t>
      </w:r>
      <w:r w:rsidR="00D63CCB">
        <w:t xml:space="preserve"> </w:t>
      </w:r>
    </w:p>
    <w:p w:rsidR="00C25F7F" w:rsidRDefault="0010306F" w:rsidP="001C75A5">
      <w:r>
        <w:t>Resultaten stöder vår te</w:t>
      </w:r>
      <w:r w:rsidR="00C25F7F">
        <w:t>s</w:t>
      </w:r>
      <w:r w:rsidR="0029376A">
        <w:t xml:space="preserve"> att sjukvårdsrådgivning i första hand bör ges via patientens ordinarie vår</w:t>
      </w:r>
      <w:r w:rsidR="00780541">
        <w:t>dgivare</w:t>
      </w:r>
      <w:r w:rsidR="00C25F7F">
        <w:t xml:space="preserve">. </w:t>
      </w:r>
    </w:p>
    <w:p w:rsidR="0010306F" w:rsidRDefault="00832EEF" w:rsidP="001C75A5">
      <w:hyperlink r:id="rId4" w:history="1">
        <w:r w:rsidR="00C25F7F" w:rsidRPr="00D8239C">
          <w:rPr>
            <w:rStyle w:val="Hyperlnk"/>
          </w:rPr>
          <w:t>https://www.aftonbladet.se/debatt/a/39m4J0/banta-1177-och-satsa-pengarna-pa-varden</w:t>
        </w:r>
      </w:hyperlink>
    </w:p>
    <w:p w:rsidR="00C25F7F" w:rsidRDefault="00C25F7F" w:rsidP="001C75A5"/>
    <w:p w:rsidR="001C75A5" w:rsidRDefault="001C75A5" w:rsidP="001C75A5"/>
    <w:p w:rsidR="001C75A5" w:rsidRPr="00725BF7" w:rsidRDefault="001C75A5" w:rsidP="001C75A5">
      <w:pPr>
        <w:rPr>
          <w:b/>
          <w:bCs/>
          <w:sz w:val="36"/>
          <w:szCs w:val="36"/>
        </w:rPr>
      </w:pPr>
      <w:r w:rsidRPr="00725BF7">
        <w:rPr>
          <w:b/>
          <w:bCs/>
          <w:sz w:val="36"/>
          <w:szCs w:val="36"/>
        </w:rPr>
        <w:t>1177 i Östergötland</w:t>
      </w:r>
    </w:p>
    <w:p w:rsidR="001C75A5" w:rsidRDefault="001C75A5" w:rsidP="001C75A5"/>
    <w:p w:rsidR="001C75A5" w:rsidRDefault="001C75A5" w:rsidP="001C75A5">
      <w:r>
        <w:tab/>
        <w:t>Inkomna samtal år 2020: 233 872</w:t>
      </w:r>
    </w:p>
    <w:p w:rsidR="001C75A5" w:rsidRDefault="001C75A5" w:rsidP="001C75A5">
      <w:r>
        <w:tab/>
        <w:t>Befolkning per 200930: 467 095</w:t>
      </w:r>
    </w:p>
    <w:p w:rsidR="001C75A5" w:rsidRDefault="001C75A5" w:rsidP="001C75A5">
      <w:r>
        <w:tab/>
        <w:t>Samtal per invånare 2020: 0,50</w:t>
      </w:r>
    </w:p>
    <w:p w:rsidR="001C75A5" w:rsidRDefault="001C75A5" w:rsidP="001C75A5"/>
    <w:p w:rsidR="001C75A5" w:rsidRDefault="001C75A5" w:rsidP="001C75A5">
      <w:r>
        <w:tab/>
        <w:t>Råd 40%</w:t>
      </w:r>
    </w:p>
    <w:p w:rsidR="001C75A5" w:rsidRDefault="001C75A5" w:rsidP="001C75A5">
      <w:r>
        <w:tab/>
        <w:t>Primärvård 35%</w:t>
      </w:r>
      <w:r>
        <w:tab/>
      </w:r>
    </w:p>
    <w:p w:rsidR="001C75A5" w:rsidRDefault="001C75A5" w:rsidP="001C75A5">
      <w:r>
        <w:tab/>
        <w:t>Akut totalt 22%</w:t>
      </w:r>
    </w:p>
    <w:p w:rsidR="001C75A5" w:rsidRDefault="001C75A5" w:rsidP="001C75A5">
      <w:r>
        <w:tab/>
        <w:t xml:space="preserve">   varav Spec.vård 19%</w:t>
      </w:r>
    </w:p>
    <w:p w:rsidR="001C75A5" w:rsidRDefault="001C75A5" w:rsidP="001C75A5">
      <w:r>
        <w:tab/>
        <w:t xml:space="preserve">   varav Ambulans 3%</w:t>
      </w:r>
    </w:p>
    <w:p w:rsidR="001C75A5" w:rsidRDefault="001C75A5" w:rsidP="001C75A5">
      <w:r>
        <w:tab/>
        <w:t>Övrigt 3%</w:t>
      </w:r>
    </w:p>
    <w:p w:rsidR="001C75A5" w:rsidRDefault="001C75A5" w:rsidP="001C75A5"/>
    <w:p w:rsidR="00C76E7A" w:rsidRDefault="00EF7F38" w:rsidP="00B10093">
      <w:r>
        <w:t xml:space="preserve">Totalt antal besök på akutmottagningar och </w:t>
      </w:r>
      <w:proofErr w:type="spellStart"/>
      <w:r>
        <w:t>jour</w:t>
      </w:r>
      <w:r w:rsidR="00562335">
        <w:t>centraler</w:t>
      </w:r>
      <w:proofErr w:type="spellEnd"/>
      <w:r w:rsidR="00562335">
        <w:t xml:space="preserve"> 35</w:t>
      </w:r>
      <w:r w:rsidR="003520E0">
        <w:t>135</w:t>
      </w:r>
    </w:p>
    <w:p w:rsidR="00EF7F38" w:rsidRDefault="00C76E7A" w:rsidP="00B10093">
      <w:r>
        <w:t>Totalt antal telefonsamtal 1177: 232</w:t>
      </w:r>
      <w:r w:rsidR="00E31514">
        <w:t>872</w:t>
      </w:r>
      <w:r w:rsidR="00EF7F38">
        <w:t xml:space="preserve"> </w:t>
      </w:r>
    </w:p>
    <w:p w:rsidR="00EF7F38" w:rsidRDefault="00F13BA2" w:rsidP="001C75A5">
      <w:r>
        <w:t>Uppskattad andel akutbesök hänvisade från 1177:</w:t>
      </w:r>
      <w:r w:rsidR="00620E43">
        <w:t xml:space="preserve"> </w:t>
      </w:r>
      <w:r w:rsidR="001308AD">
        <w:t>1</w:t>
      </w:r>
      <w:r w:rsidR="007351C4">
        <w:t>46%</w:t>
      </w:r>
    </w:p>
    <w:p w:rsidR="00F13BA2" w:rsidRDefault="00F13BA2" w:rsidP="001C75A5"/>
    <w:p w:rsidR="00F13BA2" w:rsidRDefault="00F13BA2" w:rsidP="001C75A5"/>
    <w:p w:rsidR="001C75A5" w:rsidRPr="00725BF7" w:rsidRDefault="001C75A5" w:rsidP="001C75A5">
      <w:pPr>
        <w:rPr>
          <w:b/>
          <w:bCs/>
          <w:sz w:val="36"/>
          <w:szCs w:val="36"/>
        </w:rPr>
      </w:pPr>
      <w:r w:rsidRPr="00725BF7">
        <w:rPr>
          <w:b/>
          <w:bCs/>
          <w:sz w:val="36"/>
          <w:szCs w:val="36"/>
        </w:rPr>
        <w:t>1177 i VGR</w:t>
      </w:r>
    </w:p>
    <w:p w:rsidR="001C75A5" w:rsidRDefault="001C75A5" w:rsidP="001C75A5"/>
    <w:p w:rsidR="001C75A5" w:rsidRPr="00435E17" w:rsidRDefault="001C75A5" w:rsidP="001C75A5">
      <w:pPr>
        <w:rPr>
          <w:lang w:val="de-DE"/>
        </w:rPr>
      </w:pPr>
      <w:r>
        <w:tab/>
      </w:r>
      <w:r w:rsidRPr="00435E17">
        <w:t xml:space="preserve">Inkomna samtal år </w:t>
      </w:r>
      <w:r w:rsidR="001B3443" w:rsidRPr="00435E17">
        <w:t>2020</w:t>
      </w:r>
      <w:r w:rsidR="00262959" w:rsidRPr="00435E17">
        <w:t>: 881738</w:t>
      </w:r>
    </w:p>
    <w:p w:rsidR="001C75A5" w:rsidRPr="00435E17" w:rsidRDefault="001C75A5" w:rsidP="001C75A5">
      <w:r w:rsidRPr="00435E17">
        <w:tab/>
        <w:t>Befolkning per 200930: 1 733 574</w:t>
      </w:r>
    </w:p>
    <w:p w:rsidR="001C75A5" w:rsidRDefault="001C75A5" w:rsidP="001C75A5">
      <w:r w:rsidRPr="00435E17">
        <w:tab/>
        <w:t>Uppskattat antal samtal per invånare 2020: 0,</w:t>
      </w:r>
      <w:r w:rsidR="00262959" w:rsidRPr="00435E17">
        <w:t>5</w:t>
      </w:r>
      <w:r w:rsidR="00D24063" w:rsidRPr="00435E17">
        <w:t>1</w:t>
      </w:r>
    </w:p>
    <w:p w:rsidR="001C75A5" w:rsidRDefault="001C75A5" w:rsidP="001C75A5"/>
    <w:p w:rsidR="001C75A5" w:rsidRDefault="001C75A5" w:rsidP="001C75A5">
      <w:r>
        <w:tab/>
        <w:t>Råd 38%</w:t>
      </w:r>
    </w:p>
    <w:p w:rsidR="001C75A5" w:rsidRDefault="001C75A5" w:rsidP="001C75A5">
      <w:r>
        <w:tab/>
        <w:t>Primärvård 39%</w:t>
      </w:r>
    </w:p>
    <w:p w:rsidR="001C75A5" w:rsidRDefault="001C75A5" w:rsidP="001C75A5">
      <w:r>
        <w:tab/>
        <w:t>Akut 22%</w:t>
      </w:r>
    </w:p>
    <w:p w:rsidR="001C75A5" w:rsidRDefault="001C75A5" w:rsidP="001C75A5">
      <w:r>
        <w:tab/>
        <w:t xml:space="preserve">   varav ambulans 4%</w:t>
      </w:r>
    </w:p>
    <w:p w:rsidR="001C75A5" w:rsidRDefault="001C75A5" w:rsidP="001C75A5">
      <w:r>
        <w:tab/>
        <w:t xml:space="preserve">   varav Spec.vård (akuter)18%</w:t>
      </w:r>
    </w:p>
    <w:p w:rsidR="001C75A5" w:rsidRDefault="001C75A5" w:rsidP="001C75A5">
      <w:r>
        <w:tab/>
        <w:t>Övrigt 1%</w:t>
      </w:r>
    </w:p>
    <w:p w:rsidR="001C75A5" w:rsidRDefault="001C75A5" w:rsidP="001C75A5"/>
    <w:p w:rsidR="00567E89" w:rsidRDefault="000E5467" w:rsidP="001C75A5">
      <w:r>
        <w:lastRenderedPageBreak/>
        <w:t xml:space="preserve">Totalt antal besök </w:t>
      </w:r>
      <w:proofErr w:type="spellStart"/>
      <w:r w:rsidR="003B5E1E">
        <w:t>ak</w:t>
      </w:r>
      <w:r>
        <w:t>tmottagningar</w:t>
      </w:r>
      <w:proofErr w:type="spellEnd"/>
      <w:r>
        <w:t xml:space="preserve"> och närakuter: </w:t>
      </w:r>
      <w:r w:rsidR="00C67A0A">
        <w:t>3</w:t>
      </w:r>
      <w:r w:rsidR="003B5E1E">
        <w:t>74062</w:t>
      </w:r>
    </w:p>
    <w:p w:rsidR="00EB08BF" w:rsidRDefault="00EB08BF" w:rsidP="001C75A5">
      <w:r>
        <w:t>Up</w:t>
      </w:r>
      <w:r w:rsidR="002A1831">
        <w:t>pskattad andel akutbesök hänvisade från 1177</w:t>
      </w:r>
      <w:r w:rsidR="00E83519">
        <w:t>: 52%</w:t>
      </w:r>
    </w:p>
    <w:p w:rsidR="00567E89" w:rsidRDefault="00567E89" w:rsidP="001C75A5"/>
    <w:p w:rsidR="001C75A5" w:rsidRPr="00692621" w:rsidRDefault="001C75A5" w:rsidP="001C75A5">
      <w:pPr>
        <w:rPr>
          <w:b/>
          <w:bCs/>
          <w:sz w:val="36"/>
          <w:szCs w:val="36"/>
        </w:rPr>
      </w:pPr>
      <w:r w:rsidRPr="00692621">
        <w:rPr>
          <w:b/>
          <w:bCs/>
          <w:sz w:val="36"/>
          <w:szCs w:val="36"/>
        </w:rPr>
        <w:t>1177 i Skåne</w:t>
      </w:r>
    </w:p>
    <w:p w:rsidR="001C75A5" w:rsidRDefault="001C75A5" w:rsidP="001C75A5"/>
    <w:p w:rsidR="001C75A5" w:rsidRDefault="001C75A5" w:rsidP="001C75A5">
      <w:r>
        <w:tab/>
        <w:t>Inkomna samtal år 2020: 553 576</w:t>
      </w:r>
    </w:p>
    <w:p w:rsidR="001C75A5" w:rsidRDefault="001C75A5" w:rsidP="001C75A5">
      <w:r>
        <w:tab/>
        <w:t>Befolkning per 200930: 1 387 650</w:t>
      </w:r>
    </w:p>
    <w:p w:rsidR="001C75A5" w:rsidRDefault="001C75A5" w:rsidP="001C75A5">
      <w:r>
        <w:tab/>
        <w:t>Samtal per invånare 2020: 0,40</w:t>
      </w:r>
    </w:p>
    <w:p w:rsidR="001C75A5" w:rsidRDefault="001C75A5" w:rsidP="001C75A5"/>
    <w:p w:rsidR="001C75A5" w:rsidRDefault="001C75A5" w:rsidP="001C75A5">
      <w:r>
        <w:tab/>
        <w:t>Råd 36%</w:t>
      </w:r>
    </w:p>
    <w:p w:rsidR="001C75A5" w:rsidRDefault="001C75A5" w:rsidP="001C75A5">
      <w:r>
        <w:tab/>
        <w:t>Primärvård 36%</w:t>
      </w:r>
    </w:p>
    <w:p w:rsidR="001C75A5" w:rsidRDefault="001C75A5" w:rsidP="001C75A5">
      <w:r>
        <w:tab/>
        <w:t>Akutmottagning 28%</w:t>
      </w:r>
    </w:p>
    <w:p w:rsidR="001C75A5" w:rsidRPr="00A37284" w:rsidRDefault="003A034C" w:rsidP="001C75A5">
      <w:r w:rsidRPr="00A37284">
        <w:t>T</w:t>
      </w:r>
      <w:r w:rsidR="007E7899" w:rsidRPr="00A37284">
        <w:t>otalt antal besök på akutmottagningar och närakuter:</w:t>
      </w:r>
      <w:r w:rsidR="00A37284">
        <w:t xml:space="preserve"> </w:t>
      </w:r>
      <w:r w:rsidR="00054E78" w:rsidRPr="00A37284">
        <w:t>2</w:t>
      </w:r>
      <w:r w:rsidR="0051368F" w:rsidRPr="00A37284">
        <w:t>878216 besök</w:t>
      </w:r>
    </w:p>
    <w:p w:rsidR="007E7899" w:rsidRDefault="007E7899" w:rsidP="001C75A5">
      <w:r w:rsidRPr="00A37284">
        <w:t xml:space="preserve">Uppskattad andel akutbesök hänvisade från </w:t>
      </w:r>
      <w:r w:rsidR="00D232DF" w:rsidRPr="00A37284">
        <w:t>1177:</w:t>
      </w:r>
      <w:r w:rsidR="00282E02">
        <w:t xml:space="preserve"> 5</w:t>
      </w:r>
      <w:r w:rsidR="00A37284">
        <w:t>9%</w:t>
      </w:r>
    </w:p>
    <w:p w:rsidR="007E7899" w:rsidRDefault="007E7899" w:rsidP="001C75A5"/>
    <w:p w:rsidR="001C75A5" w:rsidRPr="00725BF7" w:rsidRDefault="001C75A5" w:rsidP="001C75A5">
      <w:pPr>
        <w:rPr>
          <w:b/>
          <w:bCs/>
          <w:sz w:val="40"/>
          <w:szCs w:val="40"/>
        </w:rPr>
      </w:pPr>
      <w:r w:rsidRPr="00725BF7">
        <w:rPr>
          <w:b/>
          <w:bCs/>
          <w:sz w:val="40"/>
          <w:szCs w:val="40"/>
        </w:rPr>
        <w:t xml:space="preserve">1177 i Stockholm </w:t>
      </w:r>
    </w:p>
    <w:p w:rsidR="001C75A5" w:rsidRDefault="001C75A5" w:rsidP="001C75A5"/>
    <w:p w:rsidR="001C75A5" w:rsidRDefault="001C75A5" w:rsidP="001C75A5">
      <w:r>
        <w:tab/>
        <w:t>Inkomna samtal år 2020: 1 727 100</w:t>
      </w:r>
    </w:p>
    <w:p w:rsidR="001C75A5" w:rsidRDefault="001C75A5" w:rsidP="001C75A5">
      <w:r>
        <w:tab/>
        <w:t>Befolkning per 200930: 2 389 923</w:t>
      </w:r>
    </w:p>
    <w:p w:rsidR="001C75A5" w:rsidRDefault="001C75A5" w:rsidP="001C75A5">
      <w:r>
        <w:tab/>
        <w:t>Samtal per invånare 2020: 0,72</w:t>
      </w:r>
    </w:p>
    <w:p w:rsidR="001C75A5" w:rsidRDefault="001C75A5" w:rsidP="001C75A5"/>
    <w:p w:rsidR="001C75A5" w:rsidRDefault="001C75A5" w:rsidP="001C75A5">
      <w:r>
        <w:tab/>
        <w:t>Råd 33%</w:t>
      </w:r>
    </w:p>
    <w:p w:rsidR="001C75A5" w:rsidRDefault="001C75A5" w:rsidP="001C75A5">
      <w:r>
        <w:tab/>
        <w:t>Primärvård 28%</w:t>
      </w:r>
    </w:p>
    <w:p w:rsidR="001C75A5" w:rsidRDefault="001C75A5" w:rsidP="001C75A5">
      <w:r>
        <w:tab/>
        <w:t>Akut 39%</w:t>
      </w:r>
    </w:p>
    <w:p w:rsidR="001C75A5" w:rsidRDefault="001C75A5" w:rsidP="001C75A5">
      <w:r>
        <w:tab/>
        <w:t xml:space="preserve">   varav Närakut 16%</w:t>
      </w:r>
      <w:r w:rsidR="004B62BB">
        <w:t xml:space="preserve"> -</w:t>
      </w:r>
      <w:r w:rsidR="00F94E07">
        <w:t>382388</w:t>
      </w:r>
    </w:p>
    <w:p w:rsidR="001C75A5" w:rsidRPr="00F068F8" w:rsidRDefault="001C75A5" w:rsidP="001C75A5">
      <w:r>
        <w:tab/>
        <w:t xml:space="preserve">   </w:t>
      </w:r>
      <w:r w:rsidRPr="00F068F8">
        <w:t>varav Akutsjukhus 19%</w:t>
      </w:r>
      <w:r w:rsidR="00F94E07" w:rsidRPr="00F068F8">
        <w:t xml:space="preserve"> .</w:t>
      </w:r>
      <w:r w:rsidR="001F0F0F" w:rsidRPr="00F068F8">
        <w:t>-454085</w:t>
      </w:r>
    </w:p>
    <w:p w:rsidR="001C75A5" w:rsidRPr="00F068F8" w:rsidRDefault="001C75A5">
      <w:r w:rsidRPr="00F068F8">
        <w:tab/>
        <w:t xml:space="preserve">   varav Akut 112 4%</w:t>
      </w:r>
    </w:p>
    <w:p w:rsidR="00042486" w:rsidRPr="00F068F8" w:rsidRDefault="00042486"/>
    <w:p w:rsidR="00485492" w:rsidRPr="00485492" w:rsidRDefault="00485492" w:rsidP="00485492">
      <w:pPr>
        <w:divId w:val="1921061116"/>
        <w:rPr>
          <w:rFonts w:eastAsia="Times New Roman" w:cs="Times New Roman"/>
        </w:rPr>
      </w:pPr>
      <w:r w:rsidRPr="00485492">
        <w:rPr>
          <w:rFonts w:eastAsia="Times New Roman" w:cs="Times New Roman"/>
          <w:color w:val="000000"/>
        </w:rPr>
        <w:t>Akutmottagningar - 347 167 läkarbesök </w:t>
      </w:r>
      <w:r w:rsidR="00771468" w:rsidRPr="00F068F8">
        <w:rPr>
          <w:rFonts w:eastAsia="Times New Roman" w:cs="Times New Roman"/>
          <w:color w:val="000000"/>
        </w:rPr>
        <w:t xml:space="preserve">– andel av </w:t>
      </w:r>
      <w:r w:rsidR="004F5B3E" w:rsidRPr="00F068F8">
        <w:rPr>
          <w:rFonts w:eastAsia="Times New Roman" w:cs="Times New Roman"/>
          <w:color w:val="000000"/>
        </w:rPr>
        <w:t>hänvisade</w:t>
      </w:r>
      <w:r w:rsidR="00771468" w:rsidRPr="00F068F8">
        <w:rPr>
          <w:rFonts w:eastAsia="Times New Roman" w:cs="Times New Roman"/>
          <w:color w:val="000000"/>
        </w:rPr>
        <w:t xml:space="preserve">: </w:t>
      </w:r>
      <w:r w:rsidR="00D61BDF" w:rsidRPr="00F068F8">
        <w:rPr>
          <w:rFonts w:eastAsia="Times New Roman" w:cs="Times New Roman"/>
          <w:color w:val="000000"/>
        </w:rPr>
        <w:t>131%</w:t>
      </w:r>
      <w:r w:rsidRPr="00485492">
        <w:rPr>
          <w:rFonts w:eastAsia="Times New Roman" w:cs="Times New Roman"/>
          <w:color w:val="000000"/>
        </w:rPr>
        <w:br/>
      </w:r>
      <w:r w:rsidRPr="00485492">
        <w:rPr>
          <w:rFonts w:eastAsia="Times New Roman" w:cs="Times New Roman"/>
          <w:color w:val="000000"/>
        </w:rPr>
        <w:br/>
        <w:t>Närakuter - 298 513 läkarbesök</w:t>
      </w:r>
      <w:r w:rsidR="004F5B3E" w:rsidRPr="00F068F8">
        <w:rPr>
          <w:rFonts w:eastAsia="Times New Roman" w:cs="Times New Roman"/>
          <w:color w:val="000000"/>
        </w:rPr>
        <w:t xml:space="preserve"> -</w:t>
      </w:r>
      <w:r w:rsidR="00202CAC" w:rsidRPr="00F068F8">
        <w:rPr>
          <w:rFonts w:eastAsia="Times New Roman" w:cs="Times New Roman"/>
          <w:color w:val="000000"/>
        </w:rPr>
        <w:t xml:space="preserve"> andel av hänvisade: </w:t>
      </w:r>
      <w:r w:rsidR="008C4E03" w:rsidRPr="00F068F8">
        <w:rPr>
          <w:rFonts w:eastAsia="Times New Roman" w:cs="Times New Roman"/>
          <w:color w:val="000000"/>
        </w:rPr>
        <w:t xml:space="preserve"> 128% </w:t>
      </w:r>
    </w:p>
    <w:p w:rsidR="00042486" w:rsidRPr="00F068F8" w:rsidRDefault="00042486"/>
    <w:p w:rsidR="00A92120" w:rsidRPr="00725BF7" w:rsidRDefault="00A92120" w:rsidP="00B10093">
      <w:r w:rsidRPr="00F068F8">
        <w:t>Totalt antal besök på akutmottagni</w:t>
      </w:r>
      <w:r w:rsidRPr="00725BF7">
        <w:t>ngar och närakuter:</w:t>
      </w:r>
      <w:r w:rsidR="00A61A07" w:rsidRPr="00725BF7">
        <w:t>645680</w:t>
      </w:r>
    </w:p>
    <w:p w:rsidR="00A92120" w:rsidRDefault="00A92120" w:rsidP="00B10093">
      <w:r w:rsidRPr="00725BF7">
        <w:t>Uppskattad andel akutbesök hänvisade från 1177:</w:t>
      </w:r>
      <w:r w:rsidR="003C5555" w:rsidRPr="00725BF7">
        <w:t>144%</w:t>
      </w:r>
    </w:p>
    <w:p w:rsidR="006A6CFD" w:rsidRDefault="006A6CFD" w:rsidP="00B10093"/>
    <w:p w:rsidR="006A6CFD" w:rsidRDefault="006A6CFD" w:rsidP="00B10093"/>
    <w:p w:rsidR="009B6D21" w:rsidRDefault="009B6D21" w:rsidP="00B10093"/>
    <w:p w:rsidR="005A6706" w:rsidRDefault="005A6706"/>
    <w:sectPr w:rsidR="005A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A5"/>
    <w:rsid w:val="000030E8"/>
    <w:rsid w:val="00005320"/>
    <w:rsid w:val="00006A4A"/>
    <w:rsid w:val="00023384"/>
    <w:rsid w:val="00023B60"/>
    <w:rsid w:val="00025894"/>
    <w:rsid w:val="000409A7"/>
    <w:rsid w:val="00042486"/>
    <w:rsid w:val="00045E3A"/>
    <w:rsid w:val="00054E78"/>
    <w:rsid w:val="00070F81"/>
    <w:rsid w:val="00086E49"/>
    <w:rsid w:val="000C35E4"/>
    <w:rsid w:val="000C4093"/>
    <w:rsid w:val="000C6EA4"/>
    <w:rsid w:val="000D3343"/>
    <w:rsid w:val="000E5467"/>
    <w:rsid w:val="000E6890"/>
    <w:rsid w:val="0010306F"/>
    <w:rsid w:val="001078E3"/>
    <w:rsid w:val="00123482"/>
    <w:rsid w:val="00125EA7"/>
    <w:rsid w:val="001308AD"/>
    <w:rsid w:val="00166BE7"/>
    <w:rsid w:val="00170E47"/>
    <w:rsid w:val="00180630"/>
    <w:rsid w:val="001830AA"/>
    <w:rsid w:val="001B3443"/>
    <w:rsid w:val="001C6F7D"/>
    <w:rsid w:val="001C75A5"/>
    <w:rsid w:val="001F0F0F"/>
    <w:rsid w:val="001F6767"/>
    <w:rsid w:val="002012AA"/>
    <w:rsid w:val="00202CAC"/>
    <w:rsid w:val="0021008F"/>
    <w:rsid w:val="00227D96"/>
    <w:rsid w:val="002543DE"/>
    <w:rsid w:val="00262959"/>
    <w:rsid w:val="00266FFD"/>
    <w:rsid w:val="00270AF9"/>
    <w:rsid w:val="00273271"/>
    <w:rsid w:val="00282E02"/>
    <w:rsid w:val="00291CCF"/>
    <w:rsid w:val="0029376A"/>
    <w:rsid w:val="002977B0"/>
    <w:rsid w:val="002A1831"/>
    <w:rsid w:val="002A3D26"/>
    <w:rsid w:val="002E6ED0"/>
    <w:rsid w:val="002F2E74"/>
    <w:rsid w:val="002F6B65"/>
    <w:rsid w:val="00303E39"/>
    <w:rsid w:val="00326A57"/>
    <w:rsid w:val="0033623A"/>
    <w:rsid w:val="003520E0"/>
    <w:rsid w:val="00352C84"/>
    <w:rsid w:val="00364F60"/>
    <w:rsid w:val="003734CF"/>
    <w:rsid w:val="00374865"/>
    <w:rsid w:val="003A034C"/>
    <w:rsid w:val="003A60B7"/>
    <w:rsid w:val="003B5E1E"/>
    <w:rsid w:val="003C5555"/>
    <w:rsid w:val="003C59F0"/>
    <w:rsid w:val="003D563B"/>
    <w:rsid w:val="003E4455"/>
    <w:rsid w:val="00411517"/>
    <w:rsid w:val="00415458"/>
    <w:rsid w:val="00431707"/>
    <w:rsid w:val="00432074"/>
    <w:rsid w:val="00432CB4"/>
    <w:rsid w:val="004335BD"/>
    <w:rsid w:val="00435E17"/>
    <w:rsid w:val="0044711F"/>
    <w:rsid w:val="0045688C"/>
    <w:rsid w:val="00461CB5"/>
    <w:rsid w:val="004643F9"/>
    <w:rsid w:val="00467ED0"/>
    <w:rsid w:val="0048201B"/>
    <w:rsid w:val="00485492"/>
    <w:rsid w:val="004B62BB"/>
    <w:rsid w:val="004D5C02"/>
    <w:rsid w:val="004F4878"/>
    <w:rsid w:val="004F5B3E"/>
    <w:rsid w:val="00505E92"/>
    <w:rsid w:val="00505F1F"/>
    <w:rsid w:val="0051368F"/>
    <w:rsid w:val="00525623"/>
    <w:rsid w:val="00530936"/>
    <w:rsid w:val="00545851"/>
    <w:rsid w:val="00562335"/>
    <w:rsid w:val="00567E89"/>
    <w:rsid w:val="00577D3E"/>
    <w:rsid w:val="00583A6E"/>
    <w:rsid w:val="00597B67"/>
    <w:rsid w:val="005A1DA9"/>
    <w:rsid w:val="005A2905"/>
    <w:rsid w:val="005A6706"/>
    <w:rsid w:val="005B17AB"/>
    <w:rsid w:val="00620E43"/>
    <w:rsid w:val="006354D5"/>
    <w:rsid w:val="006465A0"/>
    <w:rsid w:val="00677EA7"/>
    <w:rsid w:val="00692621"/>
    <w:rsid w:val="006945C4"/>
    <w:rsid w:val="006A6CFD"/>
    <w:rsid w:val="006D03A0"/>
    <w:rsid w:val="006D3526"/>
    <w:rsid w:val="006D72E5"/>
    <w:rsid w:val="00711418"/>
    <w:rsid w:val="00725BF7"/>
    <w:rsid w:val="007351C4"/>
    <w:rsid w:val="00770490"/>
    <w:rsid w:val="00771468"/>
    <w:rsid w:val="00780541"/>
    <w:rsid w:val="00780CF8"/>
    <w:rsid w:val="00790ECE"/>
    <w:rsid w:val="007D6CC1"/>
    <w:rsid w:val="007E0112"/>
    <w:rsid w:val="007E7899"/>
    <w:rsid w:val="007F1678"/>
    <w:rsid w:val="007F6CAD"/>
    <w:rsid w:val="00832EEF"/>
    <w:rsid w:val="00853411"/>
    <w:rsid w:val="008924C8"/>
    <w:rsid w:val="008C4E03"/>
    <w:rsid w:val="008F0F16"/>
    <w:rsid w:val="00972863"/>
    <w:rsid w:val="009A1B4D"/>
    <w:rsid w:val="009B6D21"/>
    <w:rsid w:val="009C70F9"/>
    <w:rsid w:val="009D4417"/>
    <w:rsid w:val="00A04878"/>
    <w:rsid w:val="00A36370"/>
    <w:rsid w:val="00A37284"/>
    <w:rsid w:val="00A56475"/>
    <w:rsid w:val="00A61A07"/>
    <w:rsid w:val="00A92120"/>
    <w:rsid w:val="00AB251C"/>
    <w:rsid w:val="00AD3BCF"/>
    <w:rsid w:val="00B36FC6"/>
    <w:rsid w:val="00B456E8"/>
    <w:rsid w:val="00B56748"/>
    <w:rsid w:val="00B713F1"/>
    <w:rsid w:val="00B9703E"/>
    <w:rsid w:val="00B97E60"/>
    <w:rsid w:val="00BB3DD1"/>
    <w:rsid w:val="00BB757E"/>
    <w:rsid w:val="00BC0811"/>
    <w:rsid w:val="00C06383"/>
    <w:rsid w:val="00C07B3E"/>
    <w:rsid w:val="00C1732A"/>
    <w:rsid w:val="00C214B8"/>
    <w:rsid w:val="00C25F7F"/>
    <w:rsid w:val="00C509E0"/>
    <w:rsid w:val="00C50E45"/>
    <w:rsid w:val="00C51AB9"/>
    <w:rsid w:val="00C61766"/>
    <w:rsid w:val="00C67A0A"/>
    <w:rsid w:val="00C76E7A"/>
    <w:rsid w:val="00C91ABD"/>
    <w:rsid w:val="00C925B4"/>
    <w:rsid w:val="00CB5B78"/>
    <w:rsid w:val="00CD6EFB"/>
    <w:rsid w:val="00CD6F9D"/>
    <w:rsid w:val="00CE4577"/>
    <w:rsid w:val="00D02E15"/>
    <w:rsid w:val="00D03546"/>
    <w:rsid w:val="00D04C8D"/>
    <w:rsid w:val="00D232DF"/>
    <w:rsid w:val="00D24063"/>
    <w:rsid w:val="00D55E60"/>
    <w:rsid w:val="00D61BDF"/>
    <w:rsid w:val="00D63CCB"/>
    <w:rsid w:val="00DB5CB3"/>
    <w:rsid w:val="00DC0947"/>
    <w:rsid w:val="00E1195D"/>
    <w:rsid w:val="00E26411"/>
    <w:rsid w:val="00E31514"/>
    <w:rsid w:val="00E31C37"/>
    <w:rsid w:val="00E34A93"/>
    <w:rsid w:val="00E66F2A"/>
    <w:rsid w:val="00E71433"/>
    <w:rsid w:val="00E83440"/>
    <w:rsid w:val="00E83519"/>
    <w:rsid w:val="00E87559"/>
    <w:rsid w:val="00EA526F"/>
    <w:rsid w:val="00EB08BF"/>
    <w:rsid w:val="00EB464F"/>
    <w:rsid w:val="00EB51FB"/>
    <w:rsid w:val="00EE36B8"/>
    <w:rsid w:val="00EF2A52"/>
    <w:rsid w:val="00EF7F38"/>
    <w:rsid w:val="00F068F8"/>
    <w:rsid w:val="00F13BA2"/>
    <w:rsid w:val="00F34D88"/>
    <w:rsid w:val="00F64A85"/>
    <w:rsid w:val="00F94E07"/>
    <w:rsid w:val="00FC2AD8"/>
    <w:rsid w:val="00FC53FA"/>
    <w:rsid w:val="00F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6CA521"/>
  <w15:chartTrackingRefBased/>
  <w15:docId w15:val="{FCF68280-0291-0346-A457-8A6951DF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25F7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25F7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48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1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ftonbladet.se/debatt/a/39m4J0/banta-1177-och-satsa-pengarna-pa-vard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959</Words>
  <Characters>5086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Sandström</dc:creator>
  <cp:keywords/>
  <dc:description/>
  <cp:lastModifiedBy>Ylva Sandström</cp:lastModifiedBy>
  <cp:revision>53</cp:revision>
  <dcterms:created xsi:type="dcterms:W3CDTF">2021-02-20T18:03:00Z</dcterms:created>
  <dcterms:modified xsi:type="dcterms:W3CDTF">2021-03-01T19:02:00Z</dcterms:modified>
</cp:coreProperties>
</file>