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488F9" w14:textId="0633A87D" w:rsidR="00391366" w:rsidRPr="00EC5AA3" w:rsidRDefault="5599E433" w:rsidP="55F3E16E">
      <w:pPr>
        <w:pStyle w:val="Rubrik2"/>
        <w:spacing w:before="299" w:after="299"/>
      </w:pPr>
      <w:r w:rsidRPr="55F3E16E">
        <w:rPr>
          <w:rFonts w:ascii="Times New Roman" w:eastAsia="Times New Roman" w:hAnsi="Times New Roman" w:cs="Times New Roman"/>
          <w:b/>
          <w:bCs/>
          <w:sz w:val="36"/>
          <w:szCs w:val="36"/>
        </w:rPr>
        <w:t>Yttrande över SOU 2026:19 – Stärkt tillsyn och uppföljning</w:t>
      </w:r>
    </w:p>
    <w:p w14:paraId="7CA42AEF" w14:textId="2C3BBD73" w:rsidR="00391366" w:rsidRPr="00EC5AA3" w:rsidRDefault="5599E433" w:rsidP="55F3E16E">
      <w:pPr>
        <w:pStyle w:val="Rubrik3"/>
        <w:spacing w:before="281" w:after="281"/>
      </w:pPr>
      <w:r w:rsidRPr="55F3E16E">
        <w:rPr>
          <w:rFonts w:ascii="Times New Roman" w:eastAsia="Times New Roman" w:hAnsi="Times New Roman" w:cs="Times New Roman"/>
          <w:b/>
          <w:bCs/>
        </w:rPr>
        <w:t>1. IVO, TLV och regionerna får tillgång till fler uppgifter för effektivare tillsyn och uppföljning</w:t>
      </w:r>
    </w:p>
    <w:p w14:paraId="48EADCA6" w14:textId="4DB6184E" w:rsidR="00391366" w:rsidRPr="00EC5AA3" w:rsidRDefault="5599E433" w:rsidP="55F3E16E">
      <w:pPr>
        <w:spacing w:before="240" w:after="240"/>
      </w:pPr>
      <w:r w:rsidRPr="55F3E16E">
        <w:rPr>
          <w:rFonts w:ascii="Times New Roman" w:eastAsia="Times New Roman" w:hAnsi="Times New Roman" w:cs="Times New Roman"/>
        </w:rPr>
        <w:t>DLF tillstyrker att berörda aktörer får bättre förutsättningar att upptäcka oegentlig läkemedelsförskrivning.</w:t>
      </w:r>
    </w:p>
    <w:p w14:paraId="3AD501E9" w14:textId="61ABEA7E" w:rsidR="00391366" w:rsidRPr="00EC5AA3" w:rsidRDefault="5599E433" w:rsidP="55F3E16E">
      <w:pPr>
        <w:spacing w:before="240" w:after="240"/>
      </w:pPr>
      <w:r w:rsidRPr="55F3E16E">
        <w:rPr>
          <w:rFonts w:ascii="Times New Roman" w:eastAsia="Times New Roman" w:hAnsi="Times New Roman" w:cs="Times New Roman"/>
        </w:rPr>
        <w:t>Statistiskt avvikande förskrivningsmönster får dock endast användas som en signal för vidare granskning, inte som belägg för felaktig förskrivning. Förskrivningen påverkas bland annat av patientpopulation, vårdtyngd, verksamhetsinriktning och enskilda patienters medicinska behov. Analysmodeller och indikatorer måste därför vara validerade och resultaten bedömas i sitt kliniska sammanhang.</w:t>
      </w:r>
    </w:p>
    <w:p w14:paraId="48722E2C" w14:textId="7FAD7C6F" w:rsidR="00391366" w:rsidRPr="00EC5AA3" w:rsidRDefault="5599E433" w:rsidP="55F3E16E">
      <w:pPr>
        <w:spacing w:before="240" w:after="240"/>
      </w:pPr>
      <w:r w:rsidRPr="55F3E16E">
        <w:rPr>
          <w:rFonts w:ascii="Times New Roman" w:eastAsia="Times New Roman" w:hAnsi="Times New Roman" w:cs="Times New Roman"/>
        </w:rPr>
        <w:t>Det måste också finnas en tydlig gräns mellan medicinsk tillsyn och ekonomisk uppföljning. En förskrivning kan vara medicinskt motiverad även om den avviker från regionala rekommendationer eller läkemedelsförmånens villkor.</w:t>
      </w:r>
    </w:p>
    <w:p w14:paraId="7F950DDC" w14:textId="014E3147" w:rsidR="00391366" w:rsidRPr="00EC5AA3" w:rsidRDefault="5599E433" w:rsidP="55F3E16E">
      <w:pPr>
        <w:spacing w:before="240" w:after="240"/>
      </w:pPr>
      <w:r w:rsidRPr="55F3E16E">
        <w:rPr>
          <w:rFonts w:ascii="Times New Roman" w:eastAsia="Times New Roman" w:hAnsi="Times New Roman" w:cs="Times New Roman"/>
        </w:rPr>
        <w:t>DLF efterfrågar ett förtydligande av vilka funktioner inom regionerna som ska få tillgång till uppgifterna och hur informationen ska hanteras rättssäkert. Den regionala uppföljningen måste innefatta tillräcklig medicinsk kompetens. Medicinska bedömningar får inte reduceras till administrativa eller ekonomiska avvikelseanalyser.</w:t>
      </w:r>
    </w:p>
    <w:p w14:paraId="11A77F68" w14:textId="678EF194" w:rsidR="00391366" w:rsidRPr="00EC5AA3" w:rsidRDefault="5599E433" w:rsidP="55F3E16E">
      <w:pPr>
        <w:spacing w:before="240" w:after="240"/>
      </w:pPr>
      <w:r w:rsidRPr="55F3E16E">
        <w:rPr>
          <w:rFonts w:ascii="Times New Roman" w:eastAsia="Times New Roman" w:hAnsi="Times New Roman" w:cs="Times New Roman"/>
        </w:rPr>
        <w:t>Verksamhetschefen har en viktig roll i den lokala uppföljningen av kvalitet och patientsäkerhet. För att kunna bedöma avvikande förskrivningsmönster måste verksamhetsledningen ha medicinsk kompetens eller säker tillgång till sådan kompetens.</w:t>
      </w:r>
    </w:p>
    <w:p w14:paraId="4E0B6062" w14:textId="089515BC" w:rsidR="00391366" w:rsidRPr="00EC5AA3" w:rsidRDefault="5599E433" w:rsidP="55F3E16E">
      <w:pPr>
        <w:pStyle w:val="Rubrik3"/>
        <w:spacing w:before="281" w:after="281"/>
      </w:pPr>
      <w:r w:rsidRPr="55F3E16E">
        <w:rPr>
          <w:rFonts w:ascii="Times New Roman" w:eastAsia="Times New Roman" w:hAnsi="Times New Roman" w:cs="Times New Roman"/>
          <w:b/>
          <w:bCs/>
        </w:rPr>
        <w:t>2. Interimistiska beslut om legitimation och förskrivningsrätt flyttas till IVO och beviskravet sänks</w:t>
      </w:r>
    </w:p>
    <w:p w14:paraId="426D6322" w14:textId="07C5C5F0" w:rsidR="00391366" w:rsidRPr="00EC5AA3" w:rsidRDefault="5599E433" w:rsidP="55F3E16E">
      <w:pPr>
        <w:spacing w:before="240" w:after="240"/>
      </w:pPr>
      <w:r w:rsidRPr="55F3E16E">
        <w:rPr>
          <w:rFonts w:ascii="Times New Roman" w:eastAsia="Times New Roman" w:hAnsi="Times New Roman" w:cs="Times New Roman"/>
        </w:rPr>
        <w:t>DLF har förståelse för behovet av att snabbt kunna ingripa när läkemedelsförskrivning innebär en konkret fara för patienter eller uppenbart är oegentlig.</w:t>
      </w:r>
    </w:p>
    <w:p w14:paraId="2F028C5D" w14:textId="5485E0C1" w:rsidR="00391366" w:rsidRPr="00EC5AA3" w:rsidRDefault="5599E433" w:rsidP="55F3E16E">
      <w:pPr>
        <w:spacing w:before="240" w:after="240"/>
      </w:pPr>
      <w:r w:rsidRPr="55F3E16E">
        <w:rPr>
          <w:rFonts w:ascii="Times New Roman" w:eastAsia="Times New Roman" w:hAnsi="Times New Roman" w:cs="Times New Roman"/>
        </w:rPr>
        <w:t>DLF ser dock betydande rättssäkerhetsrisker med att beslutanderätten flyttas till IVO samtidigt som beviskravet för interimistisk begränsning eller indragning av förskrivningsrätten sänks. DLF avstyrker därför ett sänkt beviskrav om det inte kombineras med tydligt reglerade rättssäkerhetsgarantier.</w:t>
      </w:r>
    </w:p>
    <w:p w14:paraId="293A64B0" w14:textId="4610C4AF" w:rsidR="00391366" w:rsidRPr="00EC5AA3" w:rsidRDefault="5599E433" w:rsidP="55F3E16E">
      <w:pPr>
        <w:spacing w:before="240" w:after="240"/>
      </w:pPr>
      <w:r w:rsidRPr="55F3E16E">
        <w:rPr>
          <w:rFonts w:ascii="Times New Roman" w:eastAsia="Times New Roman" w:hAnsi="Times New Roman" w:cs="Times New Roman"/>
        </w:rPr>
        <w:t xml:space="preserve">En begränsad eller indragen förskrivningsrätt kan omedelbart hindra en läkare från att utöva centrala delar av sitt yrke. Beslutet kan därmed få karaktären av en sanktion innan det slutligt har fastställts att läkaren agerat felaktigt. Konsekvenserna för anställning, yrkesutövning och </w:t>
      </w:r>
      <w:r w:rsidRPr="55F3E16E">
        <w:rPr>
          <w:rFonts w:ascii="Times New Roman" w:eastAsia="Times New Roman" w:hAnsi="Times New Roman" w:cs="Times New Roman"/>
        </w:rPr>
        <w:lastRenderedPageBreak/>
        <w:t>professionellt anseende kan bli betydande och delvis irreversibla, även om beslutet senare ändras.</w:t>
      </w:r>
    </w:p>
    <w:p w14:paraId="2B360E6B" w14:textId="16C38433" w:rsidR="00391366" w:rsidRPr="00EC5AA3" w:rsidRDefault="5599E433" w:rsidP="55F3E16E">
      <w:pPr>
        <w:spacing w:before="240" w:after="240"/>
      </w:pPr>
      <w:r w:rsidRPr="55F3E16E">
        <w:rPr>
          <w:rFonts w:ascii="Times New Roman" w:eastAsia="Times New Roman" w:hAnsi="Times New Roman" w:cs="Times New Roman"/>
        </w:rPr>
        <w:t>Ett felaktigt interimistiskt beslut kan även få betydande konsekvenser för verksamhetens möjligheter att fullgöra sitt vårduppdrag. På mindre vårdcentraler och kliniker kan en enskild läkares förskrivningsrätt vara avgörande för verksamhetens funktion och patienternas tillgång till vård. Även dessa konsekvenser måste därför beaktas vid proportionalitetsbedömningen.</w:t>
      </w:r>
    </w:p>
    <w:p w14:paraId="76ACAF16" w14:textId="0F3E163F" w:rsidR="00391366" w:rsidRPr="00EC5AA3" w:rsidRDefault="5599E433" w:rsidP="55F3E16E">
      <w:pPr>
        <w:spacing w:before="240" w:after="240"/>
      </w:pPr>
      <w:r w:rsidRPr="55F3E16E">
        <w:rPr>
          <w:rFonts w:ascii="Times New Roman" w:eastAsia="Times New Roman" w:hAnsi="Times New Roman" w:cs="Times New Roman"/>
        </w:rPr>
        <w:t>DLF anser att det måste säkerställas</w:t>
      </w:r>
    </w:p>
    <w:p w14:paraId="4196646D" w14:textId="2F130CCB" w:rsidR="00391366" w:rsidRPr="00EC5AA3" w:rsidRDefault="5599E433" w:rsidP="55F3E16E">
      <w:pPr>
        <w:pStyle w:val="Liststycke"/>
        <w:numPr>
          <w:ilvl w:val="0"/>
          <w:numId w:val="1"/>
        </w:numPr>
        <w:spacing w:before="240" w:after="240"/>
        <w:rPr>
          <w:rFonts w:ascii="Times New Roman" w:eastAsia="Times New Roman" w:hAnsi="Times New Roman" w:cs="Times New Roman"/>
        </w:rPr>
      </w:pPr>
      <w:r w:rsidRPr="55F3E16E">
        <w:rPr>
          <w:rFonts w:ascii="Times New Roman" w:eastAsia="Times New Roman" w:hAnsi="Times New Roman" w:cs="Times New Roman"/>
        </w:rPr>
        <w:t>att beslutet grundas på en kvalificerad medicinsk och juridisk bedömning,</w:t>
      </w:r>
    </w:p>
    <w:p w14:paraId="3E83BDCE" w14:textId="013BD0DF" w:rsidR="00391366" w:rsidRPr="00EC5AA3" w:rsidRDefault="5599E433" w:rsidP="55F3E16E">
      <w:pPr>
        <w:pStyle w:val="Liststycke"/>
        <w:numPr>
          <w:ilvl w:val="0"/>
          <w:numId w:val="1"/>
        </w:numPr>
        <w:spacing w:before="240" w:after="240"/>
        <w:rPr>
          <w:rFonts w:ascii="Times New Roman" w:eastAsia="Times New Roman" w:hAnsi="Times New Roman" w:cs="Times New Roman"/>
        </w:rPr>
      </w:pPr>
      <w:r w:rsidRPr="55F3E16E">
        <w:rPr>
          <w:rFonts w:ascii="Times New Roman" w:eastAsia="Times New Roman" w:hAnsi="Times New Roman" w:cs="Times New Roman"/>
        </w:rPr>
        <w:t>att läkare med relevant specialistkompetens deltar i bedömningen,</w:t>
      </w:r>
    </w:p>
    <w:p w14:paraId="14C12FF6" w14:textId="64CE3308" w:rsidR="00391366" w:rsidRPr="00EC5AA3" w:rsidRDefault="5599E433" w:rsidP="55F3E16E">
      <w:pPr>
        <w:pStyle w:val="Liststycke"/>
        <w:numPr>
          <w:ilvl w:val="0"/>
          <w:numId w:val="1"/>
        </w:numPr>
        <w:spacing w:before="240" w:after="240"/>
        <w:rPr>
          <w:rFonts w:ascii="Times New Roman" w:eastAsia="Times New Roman" w:hAnsi="Times New Roman" w:cs="Times New Roman"/>
        </w:rPr>
      </w:pPr>
      <w:r w:rsidRPr="55F3E16E">
        <w:rPr>
          <w:rFonts w:ascii="Times New Roman" w:eastAsia="Times New Roman" w:hAnsi="Times New Roman" w:cs="Times New Roman"/>
        </w:rPr>
        <w:t>att IVO har tillräckliga personella och medicinska resurser,</w:t>
      </w:r>
    </w:p>
    <w:p w14:paraId="11BD4B3D" w14:textId="0BB6970E" w:rsidR="00391366" w:rsidRPr="00EC5AA3" w:rsidRDefault="5599E433" w:rsidP="55F3E16E">
      <w:pPr>
        <w:pStyle w:val="Liststycke"/>
        <w:numPr>
          <w:ilvl w:val="0"/>
          <w:numId w:val="1"/>
        </w:numPr>
        <w:spacing w:before="240" w:after="240"/>
        <w:rPr>
          <w:rFonts w:ascii="Times New Roman" w:eastAsia="Times New Roman" w:hAnsi="Times New Roman" w:cs="Times New Roman"/>
        </w:rPr>
      </w:pPr>
      <w:r w:rsidRPr="55F3E16E">
        <w:rPr>
          <w:rFonts w:ascii="Times New Roman" w:eastAsia="Times New Roman" w:hAnsi="Times New Roman" w:cs="Times New Roman"/>
        </w:rPr>
        <w:t>att mindre ingripande åtgärder alltid övervägs,</w:t>
      </w:r>
    </w:p>
    <w:p w14:paraId="13ACA150" w14:textId="1C510667" w:rsidR="00391366" w:rsidRPr="00EC5AA3" w:rsidRDefault="5599E433" w:rsidP="55F3E16E">
      <w:pPr>
        <w:pStyle w:val="Liststycke"/>
        <w:numPr>
          <w:ilvl w:val="0"/>
          <w:numId w:val="1"/>
        </w:numPr>
        <w:spacing w:before="240" w:after="240"/>
        <w:rPr>
          <w:rFonts w:ascii="Times New Roman" w:eastAsia="Times New Roman" w:hAnsi="Times New Roman" w:cs="Times New Roman"/>
        </w:rPr>
      </w:pPr>
      <w:r w:rsidRPr="55F3E16E">
        <w:rPr>
          <w:rFonts w:ascii="Times New Roman" w:eastAsia="Times New Roman" w:hAnsi="Times New Roman" w:cs="Times New Roman"/>
        </w:rPr>
        <w:t>att den berörda läkaren skyndsamt får yttra sig, och</w:t>
      </w:r>
    </w:p>
    <w:p w14:paraId="2D98A881" w14:textId="3EACE17A" w:rsidR="00391366" w:rsidRPr="00EC5AA3" w:rsidRDefault="5599E433" w:rsidP="55F3E16E">
      <w:pPr>
        <w:pStyle w:val="Liststycke"/>
        <w:numPr>
          <w:ilvl w:val="0"/>
          <w:numId w:val="1"/>
        </w:numPr>
        <w:spacing w:before="240" w:after="240"/>
        <w:rPr>
          <w:rFonts w:ascii="Times New Roman" w:eastAsia="Times New Roman" w:hAnsi="Times New Roman" w:cs="Times New Roman"/>
        </w:rPr>
      </w:pPr>
      <w:r w:rsidRPr="55F3E16E">
        <w:rPr>
          <w:rFonts w:ascii="Times New Roman" w:eastAsia="Times New Roman" w:hAnsi="Times New Roman" w:cs="Times New Roman"/>
        </w:rPr>
        <w:t>att beslutet kan överprövas mycket snabbt.</w:t>
      </w:r>
    </w:p>
    <w:p w14:paraId="207EA3E6" w14:textId="1D893815" w:rsidR="00391366" w:rsidRPr="00EC5AA3" w:rsidRDefault="5599E433" w:rsidP="55F3E16E">
      <w:pPr>
        <w:spacing w:before="240" w:after="240"/>
      </w:pPr>
      <w:r w:rsidRPr="55F3E16E">
        <w:rPr>
          <w:rFonts w:ascii="Times New Roman" w:eastAsia="Times New Roman" w:hAnsi="Times New Roman" w:cs="Times New Roman"/>
        </w:rPr>
        <w:t>Det behöver tydliggöras vad det sänkta beviskravet innebär i praktiken och hur kraven på proportionalitet och medicinsk kompetens ska säkerställas. Bedömningen av en enskild förskrivning kan kräva djup kunskap om både patientgruppen och den aktuella specialiteten. Statistiska avvikelser kan inte bedömas korrekt utan denna kliniska kontext.</w:t>
      </w:r>
    </w:p>
    <w:p w14:paraId="4B5F1F92" w14:textId="7D1572FD" w:rsidR="00391366" w:rsidRPr="00EC5AA3" w:rsidRDefault="5599E433" w:rsidP="55F3E16E">
      <w:pPr>
        <w:pStyle w:val="Rubrik3"/>
        <w:spacing w:before="281" w:after="281"/>
      </w:pPr>
      <w:r w:rsidRPr="55F3E16E">
        <w:rPr>
          <w:rFonts w:ascii="Times New Roman" w:eastAsia="Times New Roman" w:hAnsi="Times New Roman" w:cs="Times New Roman"/>
          <w:b/>
          <w:bCs/>
        </w:rPr>
        <w:t>3. Utökade möjligheter för IVO att ingripa vid tillsyn av förskrivare</w:t>
      </w:r>
    </w:p>
    <w:p w14:paraId="1B333A5F" w14:textId="1D56CA92" w:rsidR="00391366" w:rsidRPr="00EC5AA3" w:rsidRDefault="5599E433" w:rsidP="55F3E16E">
      <w:pPr>
        <w:spacing w:before="240" w:after="240"/>
      </w:pPr>
      <w:r w:rsidRPr="55F3E16E">
        <w:rPr>
          <w:rFonts w:ascii="Times New Roman" w:eastAsia="Times New Roman" w:hAnsi="Times New Roman" w:cs="Times New Roman"/>
        </w:rPr>
        <w:t>DLF tillstyrker att IVO ges effektiva möjligheter att ingripa mot förskrivning som medför fara för patienter eller uppenbart strider mot gällande regler.</w:t>
      </w:r>
    </w:p>
    <w:p w14:paraId="07B3DBD3" w14:textId="77490721" w:rsidR="00391366" w:rsidRPr="00EC5AA3" w:rsidRDefault="5599E433" w:rsidP="55F3E16E">
      <w:pPr>
        <w:spacing w:before="240" w:after="240"/>
      </w:pPr>
      <w:r w:rsidRPr="55F3E16E">
        <w:rPr>
          <w:rFonts w:ascii="Times New Roman" w:eastAsia="Times New Roman" w:hAnsi="Times New Roman" w:cs="Times New Roman"/>
        </w:rPr>
        <w:t>Befogenheterna måste dock förenas med tydliga kriterier för när och på vilka grunder ett ingripande får ske. Medicinskt välgrundade behandlingsbeslut får inte ifrågasättas enbart för att de avviker från statistiska normer, regionala rekommendationer eller ekonomiska riktvärden.</w:t>
      </w:r>
    </w:p>
    <w:p w14:paraId="6508ED64" w14:textId="467A2A6A" w:rsidR="00391366" w:rsidRPr="00EC5AA3" w:rsidRDefault="5599E433" w:rsidP="55F3E16E">
      <w:pPr>
        <w:spacing w:before="240" w:after="240"/>
      </w:pPr>
      <w:r w:rsidRPr="55F3E16E">
        <w:rPr>
          <w:rFonts w:ascii="Times New Roman" w:eastAsia="Times New Roman" w:hAnsi="Times New Roman" w:cs="Times New Roman"/>
        </w:rPr>
        <w:t>En alltför långtgående eller oförutsebar tillsyn riskerar att skapa en försiktighetskultur där läkare avstår från medicinskt motiverad behandling av rädsla för sanktioner. Det kan begränsa läkarens professionella handlingsutrymme och patientens möjlighet till individuellt anpassad vård.</w:t>
      </w:r>
    </w:p>
    <w:p w14:paraId="54077AB0" w14:textId="0B4DC693" w:rsidR="00391366" w:rsidRPr="00EC5AA3" w:rsidRDefault="5599E433" w:rsidP="55F3E16E">
      <w:pPr>
        <w:spacing w:before="240" w:after="240"/>
      </w:pPr>
      <w:r w:rsidRPr="55F3E16E">
        <w:rPr>
          <w:rFonts w:ascii="Times New Roman" w:eastAsia="Times New Roman" w:hAnsi="Times New Roman" w:cs="Times New Roman"/>
        </w:rPr>
        <w:t>Det bör finnas fungerande former för dialog mellan förskrivaren, verksamhetsledningen och IVO. Därigenom kan avvikelser utredas i sitt kliniska sammanhang och patientsäkerhetsproblem hanteras så tidigt som möjligt.</w:t>
      </w:r>
    </w:p>
    <w:p w14:paraId="29CDEA88" w14:textId="32D9E790" w:rsidR="00391366" w:rsidRPr="00EC5AA3" w:rsidRDefault="5599E433" w:rsidP="55F3E16E">
      <w:pPr>
        <w:pStyle w:val="Rubrik3"/>
        <w:spacing w:before="281" w:after="281"/>
      </w:pPr>
      <w:r w:rsidRPr="55F3E16E">
        <w:rPr>
          <w:rFonts w:ascii="Times New Roman" w:eastAsia="Times New Roman" w:hAnsi="Times New Roman" w:cs="Times New Roman"/>
          <w:b/>
          <w:bCs/>
        </w:rPr>
        <w:lastRenderedPageBreak/>
        <w:t>4. Arbetsplatskoder ersätts av förmånskoder och reglerna om tilldelning och återkallelse förtydligas</w:t>
      </w:r>
    </w:p>
    <w:p w14:paraId="1D03234D" w14:textId="6C1516C3" w:rsidR="00391366" w:rsidRPr="00EC5AA3" w:rsidRDefault="5599E433" w:rsidP="55F3E16E">
      <w:pPr>
        <w:spacing w:before="240" w:after="240"/>
      </w:pPr>
      <w:r w:rsidRPr="55F3E16E">
        <w:rPr>
          <w:rFonts w:ascii="Times New Roman" w:eastAsia="Times New Roman" w:hAnsi="Times New Roman" w:cs="Times New Roman"/>
        </w:rPr>
        <w:t>DLF tillstyrker ett tydligare regelverk för tilldelning och återkallelse av förmånskoder, eftersom detta kan förbättra spårbarheten och motverka missbruk av läkemedelsförmånen.</w:t>
      </w:r>
    </w:p>
    <w:p w14:paraId="5B7B6CD4" w14:textId="66B91AAD" w:rsidR="00391366" w:rsidRPr="00EC5AA3" w:rsidRDefault="5599E433" w:rsidP="55F3E16E">
      <w:pPr>
        <w:spacing w:before="240" w:after="240"/>
      </w:pPr>
      <w:r w:rsidRPr="55F3E16E">
        <w:rPr>
          <w:rFonts w:ascii="Times New Roman" w:eastAsia="Times New Roman" w:hAnsi="Times New Roman" w:cs="Times New Roman"/>
        </w:rPr>
        <w:t>Regelverket måste dock upprätthålla en tydlig gräns mellan förskrivarens medicinska beslut och frågan om en behandling omfattas av läkemedelsförmånen. En behandling kan vara medicinskt motiverad även om den inte uppfyller villkoren för subvention.</w:t>
      </w:r>
    </w:p>
    <w:p w14:paraId="1D3B4C89" w14:textId="12FE6E39" w:rsidR="00391366" w:rsidRPr="00EC5AA3" w:rsidRDefault="5599E433" w:rsidP="55F3E16E">
      <w:pPr>
        <w:spacing w:before="240" w:after="240"/>
      </w:pPr>
      <w:r w:rsidRPr="55F3E16E">
        <w:rPr>
          <w:rFonts w:ascii="Times New Roman" w:eastAsia="Times New Roman" w:hAnsi="Times New Roman" w:cs="Times New Roman"/>
        </w:rPr>
        <w:t>Återkallelse eller begränsning av en förmånskod måste därför bygga på transparenta och rättssäkra kriterier. Det ska framgå vilken aktör som fattar beslutet, hur förskrivaren eller verksamheten får möjlighet att yttra sig samt hur beslutet kan omprövas eller överklagas.</w:t>
      </w:r>
    </w:p>
    <w:p w14:paraId="676E89F0" w14:textId="16990B84" w:rsidR="00391366" w:rsidRPr="00EC5AA3" w:rsidRDefault="5599E433" w:rsidP="55F3E16E">
      <w:pPr>
        <w:spacing w:before="240" w:after="240"/>
      </w:pPr>
      <w:r w:rsidRPr="55F3E16E">
        <w:rPr>
          <w:rFonts w:ascii="Times New Roman" w:eastAsia="Times New Roman" w:hAnsi="Times New Roman" w:cs="Times New Roman"/>
        </w:rPr>
        <w:t>Kostnadskontroll och följsamhet till läkemedelsförmånen får inte sammanblandas med tillsyn av medicinska behandlingsbeslut.</w:t>
      </w:r>
    </w:p>
    <w:p w14:paraId="27182C44" w14:textId="22613EAF" w:rsidR="00391366" w:rsidRPr="00EC5AA3" w:rsidRDefault="5599E433" w:rsidP="55F3E16E">
      <w:pPr>
        <w:pStyle w:val="Rubrik3"/>
        <w:spacing w:before="281" w:after="281"/>
      </w:pPr>
      <w:r w:rsidRPr="55F3E16E">
        <w:rPr>
          <w:rFonts w:ascii="Times New Roman" w:eastAsia="Times New Roman" w:hAnsi="Times New Roman" w:cs="Times New Roman"/>
          <w:b/>
          <w:bCs/>
        </w:rPr>
        <w:t>5. Läkemedelsverket, IVO och TLV ges i uppdrag att skapa en samverkansstruktur för uppföljning och tillsyn</w:t>
      </w:r>
    </w:p>
    <w:p w14:paraId="65F70B2D" w14:textId="4DC12B68" w:rsidR="00391366" w:rsidRPr="00EC5AA3" w:rsidRDefault="5599E433" w:rsidP="55F3E16E">
      <w:pPr>
        <w:spacing w:before="240" w:after="240"/>
      </w:pPr>
      <w:r w:rsidRPr="55F3E16E">
        <w:rPr>
          <w:rFonts w:ascii="Times New Roman" w:eastAsia="Times New Roman" w:hAnsi="Times New Roman" w:cs="Times New Roman"/>
        </w:rPr>
        <w:t>DLF tillstyrker en stärkt samverkan mellan Läkemedelsverket, IVO och TLV. Förbättrad informationsdelning kan minska risken för att allvarliga avvikelser faller mellan myndigheternas ansvarsområden.</w:t>
      </w:r>
    </w:p>
    <w:p w14:paraId="212DE019" w14:textId="7EE9BC58" w:rsidR="00391366" w:rsidRPr="00EC5AA3" w:rsidRDefault="5599E433" w:rsidP="55F3E16E">
      <w:pPr>
        <w:spacing w:before="240" w:after="240"/>
      </w:pPr>
      <w:r w:rsidRPr="55F3E16E">
        <w:rPr>
          <w:rFonts w:ascii="Times New Roman" w:eastAsia="Times New Roman" w:hAnsi="Times New Roman" w:cs="Times New Roman"/>
        </w:rPr>
        <w:t>Samverkan får dock inte leda till att myndigheternas uppdrag sammanblandas. Patientsäkerhet, medicinsk kvalitet, läkemedelsförmån och ekonomisk uppföljning är närliggande men skilda frågor. Det måste vara tydligt på vilken grund en granskning genomförs och vilken myndighet som ansvarar för respektive bedömning.</w:t>
      </w:r>
    </w:p>
    <w:p w14:paraId="10717DCE" w14:textId="6C226F15" w:rsidR="00391366" w:rsidRPr="00EC5AA3" w:rsidRDefault="5599E433" w:rsidP="55F3E16E">
      <w:pPr>
        <w:spacing w:before="240" w:after="240"/>
      </w:pPr>
      <w:r w:rsidRPr="55F3E16E">
        <w:rPr>
          <w:rFonts w:ascii="Times New Roman" w:eastAsia="Times New Roman" w:hAnsi="Times New Roman" w:cs="Times New Roman"/>
        </w:rPr>
        <w:t>Relevant medicinsk kompetens måste finnas representerad i samverkansstrukturen. När en enskild förskrivares handlande granskas behöver klinisk expertis säkerställa att förskrivningen bedöms utifrån patientens och verksamhetens faktiska medicinska förutsättningar.</w:t>
      </w:r>
    </w:p>
    <w:p w14:paraId="520DDAFE" w14:textId="21281A86" w:rsidR="00391366" w:rsidRPr="00EC5AA3" w:rsidRDefault="5599E433" w:rsidP="55F3E16E">
      <w:pPr>
        <w:spacing w:before="240" w:after="240"/>
      </w:pPr>
      <w:r w:rsidRPr="55F3E16E">
        <w:rPr>
          <w:rFonts w:ascii="Times New Roman" w:eastAsia="Times New Roman" w:hAnsi="Times New Roman" w:cs="Times New Roman"/>
        </w:rPr>
        <w:t>Samverkan bör även omfatta en strukturerad dialog med professionen och regionernas verksamheter.</w:t>
      </w:r>
    </w:p>
    <w:p w14:paraId="2B1BA959" w14:textId="504BFB86" w:rsidR="00391366" w:rsidRPr="00EC5AA3" w:rsidRDefault="5599E433" w:rsidP="55F3E16E">
      <w:pPr>
        <w:pStyle w:val="Rubrik3"/>
        <w:spacing w:before="281" w:after="281"/>
      </w:pPr>
      <w:r w:rsidRPr="55F3E16E">
        <w:rPr>
          <w:rFonts w:ascii="Times New Roman" w:eastAsia="Times New Roman" w:hAnsi="Times New Roman" w:cs="Times New Roman"/>
          <w:b/>
          <w:bCs/>
        </w:rPr>
        <w:t>Sammanfattande synpunkter</w:t>
      </w:r>
    </w:p>
    <w:p w14:paraId="6C2C444C" w14:textId="27F1A380" w:rsidR="00391366" w:rsidRPr="00EC5AA3" w:rsidRDefault="5599E433" w:rsidP="55F3E16E">
      <w:pPr>
        <w:spacing w:before="240" w:after="240"/>
      </w:pPr>
      <w:r w:rsidRPr="55F3E16E">
        <w:rPr>
          <w:rFonts w:ascii="Times New Roman" w:eastAsia="Times New Roman" w:hAnsi="Times New Roman" w:cs="Times New Roman"/>
        </w:rPr>
        <w:t>DLF tillstyrker utredningens övergripande ambition att stärka möjligheterna att upptäcka och ingripa mot oegentlig läkemedelsförskrivning. En effektiv tillsyn är viktig för patientsäkerheten och förtroendet för läkarkåren.</w:t>
      </w:r>
    </w:p>
    <w:p w14:paraId="5EC08DD5" w14:textId="2C71B5D4" w:rsidR="00391366" w:rsidRPr="00EC5AA3" w:rsidRDefault="5599E433" w:rsidP="55F3E16E">
      <w:pPr>
        <w:spacing w:before="240" w:after="240"/>
      </w:pPr>
      <w:r w:rsidRPr="55F3E16E">
        <w:rPr>
          <w:rFonts w:ascii="Times New Roman" w:eastAsia="Times New Roman" w:hAnsi="Times New Roman" w:cs="Times New Roman"/>
        </w:rPr>
        <w:t xml:space="preserve">DLF avstyrker dock ett sänkt beviskrav för interimistisk begränsning eller indragning av förskrivningsrätten om det inte kombineras med starka och tydligt reglerade </w:t>
      </w:r>
      <w:r w:rsidRPr="55F3E16E">
        <w:rPr>
          <w:rFonts w:ascii="Times New Roman" w:eastAsia="Times New Roman" w:hAnsi="Times New Roman" w:cs="Times New Roman"/>
        </w:rPr>
        <w:lastRenderedPageBreak/>
        <w:t>rättssäkerhetsgarantier. Besluten måste bygga på relevant medicinsk kompetens, proportionalitet och ett tillräckligt underlag samt kunna överprövas mycket snabbt.</w:t>
      </w:r>
    </w:p>
    <w:p w14:paraId="36D49A58" w14:textId="3CC86E03" w:rsidR="00391366" w:rsidRPr="00EC5AA3" w:rsidRDefault="5599E433" w:rsidP="55F3E16E">
      <w:pPr>
        <w:spacing w:before="240" w:after="240"/>
      </w:pPr>
      <w:r w:rsidRPr="55F3E16E">
        <w:rPr>
          <w:rFonts w:ascii="Times New Roman" w:eastAsia="Times New Roman" w:hAnsi="Times New Roman" w:cs="Times New Roman"/>
        </w:rPr>
        <w:t>DLF efterfrågar därför ett tydligare besked om hur IVO ska tillförsäkras de resurser och den specialistkompetens som krävs för att fatta skyndsamma och rättssäkra beslut. Medicinsk kompetens måste även finnas i den regionala och lokala uppföljningen, så att oegentlig förskrivning kan skiljas från kliniskt motiverade avvikelser.</w:t>
      </w:r>
    </w:p>
    <w:p w14:paraId="66249559" w14:textId="0054BD38" w:rsidR="00391366" w:rsidRPr="00EC5AA3" w:rsidRDefault="00391366">
      <w:pPr>
        <w:rPr>
          <w:rFonts w:ascii="Times New Roman" w:hAnsi="Times New Roman" w:cs="Times New Roman"/>
        </w:rPr>
      </w:pPr>
    </w:p>
    <w:sectPr w:rsidR="00391366" w:rsidRPr="00EC5AA3">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05C5A" w14:textId="77777777" w:rsidR="00FB0527" w:rsidRDefault="00FB0527" w:rsidP="0029052F">
      <w:pPr>
        <w:spacing w:after="0" w:line="240" w:lineRule="auto"/>
      </w:pPr>
      <w:r>
        <w:separator/>
      </w:r>
    </w:p>
  </w:endnote>
  <w:endnote w:type="continuationSeparator" w:id="0">
    <w:p w14:paraId="308F498F" w14:textId="77777777" w:rsidR="00FB0527" w:rsidRDefault="00FB0527" w:rsidP="00290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C8B2F" w14:textId="77777777" w:rsidR="00FB0527" w:rsidRDefault="00FB0527" w:rsidP="0029052F">
      <w:pPr>
        <w:spacing w:after="0" w:line="240" w:lineRule="auto"/>
      </w:pPr>
      <w:r>
        <w:separator/>
      </w:r>
    </w:p>
  </w:footnote>
  <w:footnote w:type="continuationSeparator" w:id="0">
    <w:p w14:paraId="08F4B147" w14:textId="77777777" w:rsidR="00FB0527" w:rsidRDefault="00FB0527" w:rsidP="002905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3242C" w14:textId="1C6632CE" w:rsidR="0029052F" w:rsidRDefault="0029052F">
    <w:pPr>
      <w:pStyle w:val="Sidhuvud"/>
    </w:pPr>
    <w:r>
      <w:rPr>
        <w:noProof/>
      </w:rPr>
      <w:drawing>
        <wp:anchor distT="0" distB="0" distL="114300" distR="114300" simplePos="0" relativeHeight="251658240" behindDoc="1" locked="0" layoutInCell="1" allowOverlap="1" wp14:anchorId="1246F50A" wp14:editId="7EC2DB27">
          <wp:simplePos x="0" y="0"/>
          <wp:positionH relativeFrom="margin">
            <wp:posOffset>-793750</wp:posOffset>
          </wp:positionH>
          <wp:positionV relativeFrom="paragraph">
            <wp:posOffset>-347980</wp:posOffset>
          </wp:positionV>
          <wp:extent cx="1714500" cy="620562"/>
          <wp:effectExtent l="0" t="0" r="0" b="8255"/>
          <wp:wrapNone/>
          <wp:docPr id="1732060765"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060765" name="Bildobjekt 1732060765"/>
                  <pic:cNvPicPr/>
                </pic:nvPicPr>
                <pic:blipFill>
                  <a:blip r:embed="rId1">
                    <a:extLst>
                      <a:ext uri="{28A0092B-C50C-407E-A947-70E740481C1C}">
                        <a14:useLocalDpi xmlns:a14="http://schemas.microsoft.com/office/drawing/2010/main" val="0"/>
                      </a:ext>
                    </a:extLst>
                  </a:blip>
                  <a:stretch>
                    <a:fillRect/>
                  </a:stretch>
                </pic:blipFill>
                <pic:spPr>
                  <a:xfrm>
                    <a:off x="0" y="0"/>
                    <a:ext cx="1714500" cy="620562"/>
                  </a:xfrm>
                  <a:prstGeom prst="rect">
                    <a:avLst/>
                  </a:prstGeom>
                </pic:spPr>
              </pic:pic>
            </a:graphicData>
          </a:graphic>
          <wp14:sizeRelH relativeFrom="page">
            <wp14:pctWidth>0</wp14:pctWidth>
          </wp14:sizeRelH>
          <wp14:sizeRelV relativeFrom="page">
            <wp14:pctHeight>0</wp14:pctHeight>
          </wp14:sizeRelV>
        </wp:anchor>
      </w:drawing>
    </w:r>
  </w:p>
  <w:p w14:paraId="18DF55E3" w14:textId="77777777" w:rsidR="0029052F" w:rsidRDefault="0029052F">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3F22AD"/>
    <w:multiLevelType w:val="multilevel"/>
    <w:tmpl w:val="23BC5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A2726B"/>
    <w:multiLevelType w:val="hybridMultilevel"/>
    <w:tmpl w:val="A798E5E4"/>
    <w:lvl w:ilvl="0" w:tplc="FDFC7B26">
      <w:start w:val="1"/>
      <w:numFmt w:val="bullet"/>
      <w:lvlText w:val=""/>
      <w:lvlJc w:val="left"/>
      <w:pPr>
        <w:ind w:left="720" w:hanging="360"/>
      </w:pPr>
      <w:rPr>
        <w:rFonts w:ascii="Symbol" w:hAnsi="Symbol" w:hint="default"/>
      </w:rPr>
    </w:lvl>
    <w:lvl w:ilvl="1" w:tplc="057A84E8">
      <w:start w:val="1"/>
      <w:numFmt w:val="bullet"/>
      <w:lvlText w:val="o"/>
      <w:lvlJc w:val="left"/>
      <w:pPr>
        <w:ind w:left="1440" w:hanging="360"/>
      </w:pPr>
      <w:rPr>
        <w:rFonts w:ascii="Courier New" w:hAnsi="Courier New" w:hint="default"/>
      </w:rPr>
    </w:lvl>
    <w:lvl w:ilvl="2" w:tplc="33443C62">
      <w:start w:val="1"/>
      <w:numFmt w:val="bullet"/>
      <w:lvlText w:val=""/>
      <w:lvlJc w:val="left"/>
      <w:pPr>
        <w:ind w:left="2160" w:hanging="360"/>
      </w:pPr>
      <w:rPr>
        <w:rFonts w:ascii="Wingdings" w:hAnsi="Wingdings" w:hint="default"/>
      </w:rPr>
    </w:lvl>
    <w:lvl w:ilvl="3" w:tplc="04E4E2C8">
      <w:start w:val="1"/>
      <w:numFmt w:val="bullet"/>
      <w:lvlText w:val=""/>
      <w:lvlJc w:val="left"/>
      <w:pPr>
        <w:ind w:left="2880" w:hanging="360"/>
      </w:pPr>
      <w:rPr>
        <w:rFonts w:ascii="Symbol" w:hAnsi="Symbol" w:hint="default"/>
      </w:rPr>
    </w:lvl>
    <w:lvl w:ilvl="4" w:tplc="97A05030">
      <w:start w:val="1"/>
      <w:numFmt w:val="bullet"/>
      <w:lvlText w:val="o"/>
      <w:lvlJc w:val="left"/>
      <w:pPr>
        <w:ind w:left="3600" w:hanging="360"/>
      </w:pPr>
      <w:rPr>
        <w:rFonts w:ascii="Courier New" w:hAnsi="Courier New" w:hint="default"/>
      </w:rPr>
    </w:lvl>
    <w:lvl w:ilvl="5" w:tplc="CC3A4428">
      <w:start w:val="1"/>
      <w:numFmt w:val="bullet"/>
      <w:lvlText w:val=""/>
      <w:lvlJc w:val="left"/>
      <w:pPr>
        <w:ind w:left="4320" w:hanging="360"/>
      </w:pPr>
      <w:rPr>
        <w:rFonts w:ascii="Wingdings" w:hAnsi="Wingdings" w:hint="default"/>
      </w:rPr>
    </w:lvl>
    <w:lvl w:ilvl="6" w:tplc="0DFA74C8">
      <w:start w:val="1"/>
      <w:numFmt w:val="bullet"/>
      <w:lvlText w:val=""/>
      <w:lvlJc w:val="left"/>
      <w:pPr>
        <w:ind w:left="5040" w:hanging="360"/>
      </w:pPr>
      <w:rPr>
        <w:rFonts w:ascii="Symbol" w:hAnsi="Symbol" w:hint="default"/>
      </w:rPr>
    </w:lvl>
    <w:lvl w:ilvl="7" w:tplc="977C0406">
      <w:start w:val="1"/>
      <w:numFmt w:val="bullet"/>
      <w:lvlText w:val="o"/>
      <w:lvlJc w:val="left"/>
      <w:pPr>
        <w:ind w:left="5760" w:hanging="360"/>
      </w:pPr>
      <w:rPr>
        <w:rFonts w:ascii="Courier New" w:hAnsi="Courier New" w:hint="default"/>
      </w:rPr>
    </w:lvl>
    <w:lvl w:ilvl="8" w:tplc="BA1C3C6A">
      <w:start w:val="1"/>
      <w:numFmt w:val="bullet"/>
      <w:lvlText w:val=""/>
      <w:lvlJc w:val="left"/>
      <w:pPr>
        <w:ind w:left="6480" w:hanging="360"/>
      </w:pPr>
      <w:rPr>
        <w:rFonts w:ascii="Wingdings" w:hAnsi="Wingdings" w:hint="default"/>
      </w:rPr>
    </w:lvl>
  </w:abstractNum>
  <w:num w:numId="1" w16cid:durableId="964387233">
    <w:abstractNumId w:val="1"/>
  </w:num>
  <w:num w:numId="2" w16cid:durableId="457797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366"/>
    <w:rsid w:val="0029052F"/>
    <w:rsid w:val="00391366"/>
    <w:rsid w:val="003D397D"/>
    <w:rsid w:val="00446F22"/>
    <w:rsid w:val="007566E8"/>
    <w:rsid w:val="00795724"/>
    <w:rsid w:val="009C055C"/>
    <w:rsid w:val="00C23036"/>
    <w:rsid w:val="00C5365B"/>
    <w:rsid w:val="00EC5AA3"/>
    <w:rsid w:val="00FB0527"/>
    <w:rsid w:val="00FC1DF8"/>
    <w:rsid w:val="5599E433"/>
    <w:rsid w:val="55F3E16E"/>
    <w:rsid w:val="5AD7D36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3B63B5"/>
  <w15:chartTrackingRefBased/>
  <w15:docId w15:val="{C140D127-E913-48E2-B522-C2636BAAC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3913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3913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391366"/>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391366"/>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391366"/>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391366"/>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391366"/>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391366"/>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391366"/>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91366"/>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391366"/>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391366"/>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391366"/>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391366"/>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391366"/>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391366"/>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391366"/>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391366"/>
    <w:rPr>
      <w:rFonts w:eastAsiaTheme="majorEastAsia" w:cstheme="majorBidi"/>
      <w:color w:val="272727" w:themeColor="text1" w:themeTint="D8"/>
    </w:rPr>
  </w:style>
  <w:style w:type="paragraph" w:styleId="Rubrik">
    <w:name w:val="Title"/>
    <w:basedOn w:val="Normal"/>
    <w:next w:val="Normal"/>
    <w:link w:val="RubrikChar"/>
    <w:uiPriority w:val="10"/>
    <w:qFormat/>
    <w:rsid w:val="003913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391366"/>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391366"/>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39136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391366"/>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391366"/>
    <w:rPr>
      <w:i/>
      <w:iCs/>
      <w:color w:val="404040" w:themeColor="text1" w:themeTint="BF"/>
    </w:rPr>
  </w:style>
  <w:style w:type="paragraph" w:styleId="Liststycke">
    <w:name w:val="List Paragraph"/>
    <w:basedOn w:val="Normal"/>
    <w:uiPriority w:val="34"/>
    <w:qFormat/>
    <w:rsid w:val="00391366"/>
    <w:pPr>
      <w:ind w:left="720"/>
      <w:contextualSpacing/>
    </w:pPr>
  </w:style>
  <w:style w:type="character" w:styleId="Starkbetoning">
    <w:name w:val="Intense Emphasis"/>
    <w:basedOn w:val="Standardstycketeckensnitt"/>
    <w:uiPriority w:val="21"/>
    <w:qFormat/>
    <w:rsid w:val="00391366"/>
    <w:rPr>
      <w:i/>
      <w:iCs/>
      <w:color w:val="0F4761" w:themeColor="accent1" w:themeShade="BF"/>
    </w:rPr>
  </w:style>
  <w:style w:type="paragraph" w:styleId="Starktcitat">
    <w:name w:val="Intense Quote"/>
    <w:basedOn w:val="Normal"/>
    <w:next w:val="Normal"/>
    <w:link w:val="StarktcitatChar"/>
    <w:uiPriority w:val="30"/>
    <w:qFormat/>
    <w:rsid w:val="003913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391366"/>
    <w:rPr>
      <w:i/>
      <w:iCs/>
      <w:color w:val="0F4761" w:themeColor="accent1" w:themeShade="BF"/>
    </w:rPr>
  </w:style>
  <w:style w:type="character" w:styleId="Starkreferens">
    <w:name w:val="Intense Reference"/>
    <w:basedOn w:val="Standardstycketeckensnitt"/>
    <w:uiPriority w:val="32"/>
    <w:qFormat/>
    <w:rsid w:val="00391366"/>
    <w:rPr>
      <w:b/>
      <w:bCs/>
      <w:smallCaps/>
      <w:color w:val="0F4761" w:themeColor="accent1" w:themeShade="BF"/>
      <w:spacing w:val="5"/>
    </w:rPr>
  </w:style>
  <w:style w:type="paragraph" w:styleId="Sidhuvud">
    <w:name w:val="header"/>
    <w:basedOn w:val="Normal"/>
    <w:link w:val="SidhuvudChar"/>
    <w:uiPriority w:val="99"/>
    <w:unhideWhenUsed/>
    <w:rsid w:val="0029052F"/>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29052F"/>
  </w:style>
  <w:style w:type="paragraph" w:styleId="Sidfot">
    <w:name w:val="footer"/>
    <w:basedOn w:val="Normal"/>
    <w:link w:val="SidfotChar"/>
    <w:uiPriority w:val="99"/>
    <w:unhideWhenUsed/>
    <w:rsid w:val="0029052F"/>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2905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1159</Words>
  <Characters>6145</Characters>
  <Application>Microsoft Office Word</Application>
  <DocSecurity>0</DocSecurity>
  <Lines>51</Lines>
  <Paragraphs>14</Paragraphs>
  <ScaleCrop>false</ScaleCrop>
  <Company/>
  <LinksUpToDate>false</LinksUpToDate>
  <CharactersWithSpaces>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Fernemark Hanna</dc:creator>
  <cp:keywords/>
  <dc:description/>
  <cp:lastModifiedBy>Paulina Sohl</cp:lastModifiedBy>
  <cp:revision>2</cp:revision>
  <dcterms:created xsi:type="dcterms:W3CDTF">2026-09-03T07:51:00Z</dcterms:created>
  <dcterms:modified xsi:type="dcterms:W3CDTF">2026-09-03T07:51:00Z</dcterms:modified>
</cp:coreProperties>
</file>