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86FA" w14:textId="31FD9249" w:rsidR="006112D8" w:rsidRPr="007F5F02" w:rsidRDefault="00551B05" w:rsidP="007F5F02">
      <w:pPr>
        <w:ind w:firstLine="720"/>
      </w:pPr>
      <w:r w:rsidRPr="007F5F02">
        <w:rPr>
          <w:sz w:val="28"/>
          <w:szCs w:val="28"/>
        </w:rPr>
        <w:t>M</w:t>
      </w:r>
      <w:r w:rsidR="000435B6" w:rsidRPr="007F5F02">
        <w:rPr>
          <w:sz w:val="28"/>
          <w:szCs w:val="28"/>
        </w:rPr>
        <w:t>erkostnadsersättning</w:t>
      </w:r>
      <w:r w:rsidR="006112D8" w:rsidRPr="007F5F02">
        <w:rPr>
          <w:sz w:val="28"/>
          <w:szCs w:val="28"/>
        </w:rPr>
        <w:t xml:space="preserve"> enligt garantibelopp</w:t>
      </w:r>
      <w:r w:rsidR="00D14F9B" w:rsidRPr="007F5F02">
        <w:rPr>
          <w:sz w:val="28"/>
          <w:szCs w:val="28"/>
        </w:rPr>
        <w:t xml:space="preserve"> </w:t>
      </w:r>
      <w:r w:rsidRPr="007F5F02">
        <w:rPr>
          <w:sz w:val="28"/>
          <w:szCs w:val="28"/>
        </w:rPr>
        <w:t>vid grav hörselnedsättning</w:t>
      </w:r>
    </w:p>
    <w:p w14:paraId="339AB605" w14:textId="77777777" w:rsidR="00D74081" w:rsidRPr="00E72EAB" w:rsidRDefault="00D74081" w:rsidP="00E72EAB">
      <w:pPr>
        <w:pStyle w:val="Liststycke"/>
        <w:rPr>
          <w:sz w:val="24"/>
          <w:szCs w:val="24"/>
        </w:rPr>
      </w:pPr>
    </w:p>
    <w:p w14:paraId="2DE61077" w14:textId="77777777" w:rsidR="0070133E" w:rsidRDefault="00FB043E" w:rsidP="000435B6">
      <w:pPr>
        <w:pStyle w:val="Liststycke"/>
        <w:rPr>
          <w:i/>
          <w:iCs/>
          <w:sz w:val="24"/>
          <w:szCs w:val="24"/>
        </w:rPr>
      </w:pPr>
      <w:r w:rsidRPr="00682CB0">
        <w:rPr>
          <w:i/>
          <w:iCs/>
          <w:sz w:val="24"/>
          <w:szCs w:val="24"/>
        </w:rPr>
        <w:t>Nedan</w:t>
      </w:r>
      <w:r w:rsidR="00D74081" w:rsidRPr="00682CB0">
        <w:rPr>
          <w:i/>
          <w:iCs/>
          <w:sz w:val="24"/>
          <w:szCs w:val="24"/>
        </w:rPr>
        <w:t>s</w:t>
      </w:r>
      <w:r w:rsidRPr="00682CB0">
        <w:rPr>
          <w:i/>
          <w:iCs/>
          <w:sz w:val="24"/>
          <w:szCs w:val="24"/>
        </w:rPr>
        <w:t xml:space="preserve">tående är en sammanställning av vad SMAFs styrelse </w:t>
      </w:r>
      <w:r w:rsidR="0097357A" w:rsidRPr="00682CB0">
        <w:rPr>
          <w:i/>
          <w:iCs/>
          <w:sz w:val="24"/>
          <w:szCs w:val="24"/>
        </w:rPr>
        <w:t xml:space="preserve">28 mars 2023 fått lära sig </w:t>
      </w:r>
      <w:r w:rsidR="0044543D" w:rsidRPr="00682CB0">
        <w:rPr>
          <w:i/>
          <w:iCs/>
          <w:sz w:val="24"/>
          <w:szCs w:val="24"/>
        </w:rPr>
        <w:t xml:space="preserve">angående Försäkringskassans önskemål vid intyg om merkostnadsersättning vid Grav </w:t>
      </w:r>
      <w:r w:rsidR="00D74081" w:rsidRPr="00682CB0">
        <w:rPr>
          <w:i/>
          <w:iCs/>
          <w:sz w:val="24"/>
          <w:szCs w:val="24"/>
        </w:rPr>
        <w:t>hörselnedsättning</w:t>
      </w:r>
      <w:r w:rsidR="0044543D" w:rsidRPr="00682CB0">
        <w:rPr>
          <w:i/>
          <w:iCs/>
          <w:sz w:val="24"/>
          <w:szCs w:val="24"/>
        </w:rPr>
        <w:t xml:space="preserve"> </w:t>
      </w:r>
      <w:r w:rsidR="00D74081" w:rsidRPr="00682CB0">
        <w:rPr>
          <w:i/>
          <w:iCs/>
          <w:sz w:val="24"/>
          <w:szCs w:val="24"/>
        </w:rPr>
        <w:t>enligt garantibelopp.</w:t>
      </w:r>
      <w:r w:rsidR="006B1A95">
        <w:rPr>
          <w:i/>
          <w:iCs/>
          <w:sz w:val="24"/>
          <w:szCs w:val="24"/>
        </w:rPr>
        <w:t xml:space="preserve"> Närvarande vid det digitala mötet var från SMAF; Karin Stenfeldt, Radi Jönsson, </w:t>
      </w:r>
      <w:r w:rsidR="001D29B6">
        <w:rPr>
          <w:i/>
          <w:iCs/>
          <w:sz w:val="24"/>
          <w:szCs w:val="24"/>
        </w:rPr>
        <w:t>Åsa Kjellgren, Sumru Keceli och Elsa Erixon. Från Försäkringskassa närvarade Carl Höckerfelt och Maria</w:t>
      </w:r>
      <w:r w:rsidR="00B65B85">
        <w:rPr>
          <w:i/>
          <w:iCs/>
          <w:sz w:val="24"/>
          <w:szCs w:val="24"/>
        </w:rPr>
        <w:t xml:space="preserve"> </w:t>
      </w:r>
      <w:proofErr w:type="spellStart"/>
      <w:r w:rsidR="00B65B85">
        <w:rPr>
          <w:i/>
          <w:iCs/>
          <w:sz w:val="24"/>
          <w:szCs w:val="24"/>
        </w:rPr>
        <w:t>Bygr</w:t>
      </w:r>
      <w:r w:rsidR="007D12E5">
        <w:rPr>
          <w:i/>
          <w:iCs/>
          <w:sz w:val="24"/>
          <w:szCs w:val="24"/>
        </w:rPr>
        <w:t>en</w:t>
      </w:r>
      <w:proofErr w:type="spellEnd"/>
      <w:r w:rsidR="007D12E5">
        <w:rPr>
          <w:i/>
          <w:iCs/>
          <w:sz w:val="24"/>
          <w:szCs w:val="24"/>
        </w:rPr>
        <w:t>.</w:t>
      </w:r>
      <w:r w:rsidR="001D29B6">
        <w:rPr>
          <w:i/>
          <w:iCs/>
          <w:sz w:val="24"/>
          <w:szCs w:val="24"/>
        </w:rPr>
        <w:t xml:space="preserve"> </w:t>
      </w:r>
    </w:p>
    <w:p w14:paraId="047F5D3C" w14:textId="74E91C0D" w:rsidR="00154FF0" w:rsidRDefault="00D74081" w:rsidP="000435B6">
      <w:pPr>
        <w:pStyle w:val="Liststycke"/>
        <w:rPr>
          <w:i/>
          <w:iCs/>
          <w:sz w:val="24"/>
          <w:szCs w:val="24"/>
        </w:rPr>
      </w:pPr>
      <w:r w:rsidRPr="00682CB0">
        <w:rPr>
          <w:i/>
          <w:iCs/>
          <w:sz w:val="24"/>
          <w:szCs w:val="24"/>
        </w:rPr>
        <w:t xml:space="preserve"> </w:t>
      </w:r>
    </w:p>
    <w:p w14:paraId="43E9BF8F" w14:textId="33532482" w:rsidR="00426E86" w:rsidRDefault="003824F9" w:rsidP="000435B6">
      <w:pPr>
        <w:pStyle w:val="Liststycke"/>
        <w:rPr>
          <w:i/>
          <w:iCs/>
          <w:sz w:val="24"/>
          <w:szCs w:val="24"/>
        </w:rPr>
      </w:pPr>
      <w:r w:rsidRPr="00682CB0">
        <w:rPr>
          <w:i/>
          <w:iCs/>
          <w:sz w:val="24"/>
          <w:szCs w:val="24"/>
        </w:rPr>
        <w:t xml:space="preserve">Efter denna diskussion </w:t>
      </w:r>
      <w:r w:rsidR="009F3074" w:rsidRPr="00682CB0">
        <w:rPr>
          <w:i/>
          <w:iCs/>
          <w:sz w:val="24"/>
          <w:szCs w:val="24"/>
        </w:rPr>
        <w:t>v</w:t>
      </w:r>
      <w:r w:rsidR="003A6AF7" w:rsidRPr="00682CB0">
        <w:rPr>
          <w:i/>
          <w:iCs/>
          <w:sz w:val="24"/>
          <w:szCs w:val="24"/>
        </w:rPr>
        <w:t>a</w:t>
      </w:r>
      <w:r w:rsidR="009F3074" w:rsidRPr="00682CB0">
        <w:rPr>
          <w:i/>
          <w:iCs/>
          <w:sz w:val="24"/>
          <w:szCs w:val="24"/>
        </w:rPr>
        <w:t xml:space="preserve">nn en </w:t>
      </w:r>
      <w:r w:rsidR="000F7A8C">
        <w:rPr>
          <w:i/>
          <w:iCs/>
          <w:sz w:val="24"/>
          <w:szCs w:val="24"/>
        </w:rPr>
        <w:t>kammarrättsdom</w:t>
      </w:r>
      <w:r w:rsidR="009F3074" w:rsidRPr="00682CB0">
        <w:rPr>
          <w:i/>
          <w:iCs/>
          <w:sz w:val="24"/>
          <w:szCs w:val="24"/>
        </w:rPr>
        <w:t xml:space="preserve"> laga kraft</w:t>
      </w:r>
      <w:r w:rsidR="00534CD5" w:rsidRPr="00682CB0">
        <w:rPr>
          <w:i/>
          <w:iCs/>
          <w:sz w:val="24"/>
          <w:szCs w:val="24"/>
        </w:rPr>
        <w:t xml:space="preserve"> och är nu prejudicerande</w:t>
      </w:r>
      <w:r w:rsidR="0050369F" w:rsidRPr="00682CB0">
        <w:rPr>
          <w:i/>
          <w:iCs/>
          <w:sz w:val="24"/>
          <w:szCs w:val="24"/>
        </w:rPr>
        <w:t xml:space="preserve"> Vi har kontaktat Försäkringskassan efter detta </w:t>
      </w:r>
      <w:r w:rsidR="00465584">
        <w:rPr>
          <w:i/>
          <w:iCs/>
          <w:sz w:val="24"/>
          <w:szCs w:val="24"/>
        </w:rPr>
        <w:t>och</w:t>
      </w:r>
      <w:r w:rsidR="0050369F" w:rsidRPr="00682CB0">
        <w:rPr>
          <w:i/>
          <w:iCs/>
          <w:sz w:val="24"/>
          <w:szCs w:val="24"/>
        </w:rPr>
        <w:t xml:space="preserve"> de har gjort bedömningen att </w:t>
      </w:r>
      <w:r w:rsidR="003A6AF7" w:rsidRPr="00682CB0">
        <w:rPr>
          <w:i/>
          <w:iCs/>
          <w:sz w:val="24"/>
          <w:szCs w:val="24"/>
        </w:rPr>
        <w:t xml:space="preserve">de </w:t>
      </w:r>
      <w:r w:rsidR="00534CD5" w:rsidRPr="00682CB0">
        <w:rPr>
          <w:i/>
          <w:iCs/>
          <w:sz w:val="24"/>
          <w:szCs w:val="24"/>
        </w:rPr>
        <w:t xml:space="preserve">inte </w:t>
      </w:r>
      <w:r w:rsidR="003A6AF7" w:rsidRPr="00682CB0">
        <w:rPr>
          <w:i/>
          <w:iCs/>
          <w:sz w:val="24"/>
          <w:szCs w:val="24"/>
        </w:rPr>
        <w:t xml:space="preserve">behöver ändra sin praxis </w:t>
      </w:r>
      <w:r w:rsidR="00201594" w:rsidRPr="00682CB0">
        <w:rPr>
          <w:i/>
          <w:iCs/>
          <w:sz w:val="24"/>
          <w:szCs w:val="24"/>
        </w:rPr>
        <w:t>efter att ha förlorat i rätten mot patient som överklagat</w:t>
      </w:r>
      <w:r w:rsidR="00465584">
        <w:rPr>
          <w:i/>
          <w:iCs/>
          <w:sz w:val="24"/>
          <w:szCs w:val="24"/>
        </w:rPr>
        <w:t>.</w:t>
      </w:r>
      <w:r w:rsidR="00201594" w:rsidRPr="00682CB0">
        <w:rPr>
          <w:i/>
          <w:iCs/>
          <w:sz w:val="24"/>
          <w:szCs w:val="24"/>
        </w:rPr>
        <w:t xml:space="preserve"> </w:t>
      </w:r>
      <w:r w:rsidR="00E70179">
        <w:rPr>
          <w:i/>
          <w:iCs/>
          <w:sz w:val="24"/>
          <w:szCs w:val="24"/>
        </w:rPr>
        <w:t>Domen ger en patient</w:t>
      </w:r>
      <w:r w:rsidR="001B7FA0">
        <w:rPr>
          <w:i/>
          <w:iCs/>
          <w:sz w:val="24"/>
          <w:szCs w:val="24"/>
        </w:rPr>
        <w:t xml:space="preserve"> med FB</w:t>
      </w:r>
      <w:r w:rsidR="00B72393">
        <w:rPr>
          <w:i/>
          <w:iCs/>
          <w:sz w:val="24"/>
          <w:szCs w:val="24"/>
        </w:rPr>
        <w:t xml:space="preserve"> ord</w:t>
      </w:r>
      <w:r w:rsidR="001B7FA0">
        <w:rPr>
          <w:i/>
          <w:iCs/>
          <w:sz w:val="24"/>
          <w:szCs w:val="24"/>
        </w:rPr>
        <w:t xml:space="preserve"> 82% med bästa möjliga hjälpmedel</w:t>
      </w:r>
      <w:r w:rsidR="00E70179">
        <w:rPr>
          <w:i/>
          <w:iCs/>
          <w:sz w:val="24"/>
          <w:szCs w:val="24"/>
        </w:rPr>
        <w:t xml:space="preserve"> </w:t>
      </w:r>
      <w:r w:rsidR="00023F3E">
        <w:rPr>
          <w:i/>
          <w:iCs/>
          <w:sz w:val="24"/>
          <w:szCs w:val="24"/>
        </w:rPr>
        <w:t>rätt till merkostnadsersättning enligt garantibelopp</w:t>
      </w:r>
      <w:r w:rsidR="001B7FA0">
        <w:rPr>
          <w:i/>
          <w:iCs/>
          <w:sz w:val="24"/>
          <w:szCs w:val="24"/>
        </w:rPr>
        <w:t xml:space="preserve"> eftersom hon </w:t>
      </w:r>
      <w:r w:rsidR="00426E86">
        <w:rPr>
          <w:i/>
          <w:iCs/>
          <w:sz w:val="24"/>
          <w:szCs w:val="24"/>
        </w:rPr>
        <w:t xml:space="preserve">är beroende av </w:t>
      </w:r>
      <w:proofErr w:type="spellStart"/>
      <w:r w:rsidR="00426E86">
        <w:rPr>
          <w:i/>
          <w:iCs/>
          <w:sz w:val="24"/>
          <w:szCs w:val="24"/>
        </w:rPr>
        <w:t>avläsestöd</w:t>
      </w:r>
      <w:proofErr w:type="spellEnd"/>
      <w:r w:rsidR="00426E86">
        <w:rPr>
          <w:i/>
          <w:iCs/>
          <w:sz w:val="24"/>
          <w:szCs w:val="24"/>
        </w:rPr>
        <w:t xml:space="preserve"> i </w:t>
      </w:r>
      <w:r w:rsidR="000C30D5">
        <w:rPr>
          <w:i/>
          <w:iCs/>
          <w:sz w:val="24"/>
          <w:szCs w:val="24"/>
        </w:rPr>
        <w:t>vardagssituationer</w:t>
      </w:r>
      <w:r w:rsidR="00426E86">
        <w:rPr>
          <w:i/>
          <w:iCs/>
          <w:sz w:val="24"/>
          <w:szCs w:val="24"/>
        </w:rPr>
        <w:t xml:space="preserve">. </w:t>
      </w:r>
      <w:r w:rsidR="00023F3E">
        <w:rPr>
          <w:i/>
          <w:iCs/>
          <w:sz w:val="24"/>
          <w:szCs w:val="24"/>
        </w:rPr>
        <w:t xml:space="preserve"> </w:t>
      </w:r>
      <w:r w:rsidR="00201594" w:rsidRPr="00682CB0">
        <w:rPr>
          <w:i/>
          <w:iCs/>
          <w:sz w:val="24"/>
          <w:szCs w:val="24"/>
        </w:rPr>
        <w:t>Domen bifogas detta dokument</w:t>
      </w:r>
      <w:r w:rsidR="00682CB0" w:rsidRPr="00682CB0">
        <w:rPr>
          <w:i/>
          <w:iCs/>
          <w:sz w:val="24"/>
          <w:szCs w:val="24"/>
        </w:rPr>
        <w:t>.</w:t>
      </w:r>
    </w:p>
    <w:p w14:paraId="2288CB39" w14:textId="77777777" w:rsidR="0070133E" w:rsidRDefault="0070133E" w:rsidP="000435B6">
      <w:pPr>
        <w:pStyle w:val="Liststycke"/>
        <w:rPr>
          <w:i/>
          <w:iCs/>
          <w:sz w:val="24"/>
          <w:szCs w:val="24"/>
        </w:rPr>
      </w:pPr>
    </w:p>
    <w:p w14:paraId="19510D6F" w14:textId="0A8A1A12" w:rsidR="0016794F" w:rsidRPr="00333E0F" w:rsidRDefault="007D12E5" w:rsidP="0016794F">
      <w:pPr>
        <w:pStyle w:val="Liststycke"/>
        <w:rPr>
          <w:i/>
          <w:iCs/>
          <w:sz w:val="24"/>
          <w:szCs w:val="24"/>
        </w:rPr>
      </w:pPr>
      <w:r w:rsidRPr="00333E0F">
        <w:rPr>
          <w:i/>
          <w:iCs/>
          <w:sz w:val="24"/>
          <w:szCs w:val="24"/>
        </w:rPr>
        <w:t>Hos Försäkringskassan mynnade vår diskussion ut in nya</w:t>
      </w:r>
      <w:r w:rsidR="00A7601C" w:rsidRPr="00333E0F">
        <w:rPr>
          <w:i/>
          <w:iCs/>
          <w:sz w:val="24"/>
          <w:szCs w:val="24"/>
        </w:rPr>
        <w:t xml:space="preserve"> interna</w:t>
      </w:r>
      <w:r w:rsidRPr="00333E0F">
        <w:rPr>
          <w:i/>
          <w:iCs/>
          <w:sz w:val="24"/>
          <w:szCs w:val="24"/>
        </w:rPr>
        <w:t xml:space="preserve"> riktlinjer för handläggare</w:t>
      </w:r>
      <w:r w:rsidR="00A7601C" w:rsidRPr="00333E0F">
        <w:rPr>
          <w:i/>
          <w:iCs/>
          <w:sz w:val="24"/>
          <w:szCs w:val="24"/>
        </w:rPr>
        <w:t xml:space="preserve">. </w:t>
      </w:r>
      <w:r w:rsidR="0016794F" w:rsidRPr="00333E0F">
        <w:rPr>
          <w:i/>
          <w:iCs/>
          <w:sz w:val="24"/>
          <w:szCs w:val="24"/>
        </w:rPr>
        <w:t xml:space="preserve">Merkostnadsersättning, Vägledning 2018:3 Version 8.  </w:t>
      </w:r>
    </w:p>
    <w:p w14:paraId="557D079B" w14:textId="77777777" w:rsidR="0016794F" w:rsidRPr="00333E0F" w:rsidRDefault="0016794F" w:rsidP="0016794F">
      <w:pPr>
        <w:pStyle w:val="Liststycke"/>
        <w:rPr>
          <w:i/>
          <w:iCs/>
          <w:sz w:val="24"/>
          <w:szCs w:val="24"/>
        </w:rPr>
      </w:pPr>
      <w:r w:rsidRPr="00333E0F">
        <w:rPr>
          <w:i/>
          <w:iCs/>
          <w:sz w:val="24"/>
          <w:szCs w:val="24"/>
        </w:rPr>
        <w:t>Publicerad 1 juni 2023</w:t>
      </w:r>
    </w:p>
    <w:p w14:paraId="15BEA52D" w14:textId="77777777" w:rsidR="005C469C" w:rsidRDefault="0016794F" w:rsidP="005C469C">
      <w:pPr>
        <w:pStyle w:val="Liststycke"/>
        <w:rPr>
          <w:i/>
          <w:iCs/>
          <w:sz w:val="24"/>
          <w:szCs w:val="24"/>
        </w:rPr>
      </w:pPr>
      <w:r w:rsidRPr="00333E0F">
        <w:rPr>
          <w:i/>
          <w:iCs/>
          <w:sz w:val="24"/>
          <w:szCs w:val="24"/>
        </w:rPr>
        <w:t xml:space="preserve">Sid </w:t>
      </w:r>
      <w:r w:rsidR="00C93F83" w:rsidRPr="00333E0F">
        <w:rPr>
          <w:i/>
          <w:iCs/>
          <w:sz w:val="24"/>
          <w:szCs w:val="24"/>
        </w:rPr>
        <w:t>89</w:t>
      </w:r>
      <w:r w:rsidRPr="00333E0F">
        <w:rPr>
          <w:i/>
          <w:iCs/>
          <w:sz w:val="24"/>
          <w:szCs w:val="24"/>
        </w:rPr>
        <w:t>-9</w:t>
      </w:r>
      <w:r w:rsidR="00DA3B52" w:rsidRPr="00333E0F">
        <w:rPr>
          <w:i/>
          <w:iCs/>
          <w:sz w:val="24"/>
          <w:szCs w:val="24"/>
        </w:rPr>
        <w:t>3</w:t>
      </w:r>
      <w:r w:rsidRPr="00333E0F">
        <w:rPr>
          <w:i/>
          <w:iCs/>
          <w:sz w:val="24"/>
          <w:szCs w:val="24"/>
        </w:rPr>
        <w:t xml:space="preserve"> handlar om Grav hörselnedsättning</w:t>
      </w:r>
      <w:r>
        <w:rPr>
          <w:i/>
          <w:iCs/>
          <w:sz w:val="24"/>
          <w:szCs w:val="24"/>
        </w:rPr>
        <w:t>:</w:t>
      </w:r>
      <w:r w:rsidR="0070133E">
        <w:rPr>
          <w:i/>
          <w:iCs/>
          <w:sz w:val="24"/>
          <w:szCs w:val="24"/>
        </w:rPr>
        <w:t xml:space="preserve"> </w:t>
      </w:r>
    </w:p>
    <w:p w14:paraId="0121C109" w14:textId="612B6F94" w:rsidR="009200BF" w:rsidRDefault="00BE4FA4" w:rsidP="005C469C">
      <w:pPr>
        <w:pStyle w:val="Liststycke"/>
        <w:rPr>
          <w:i/>
          <w:iCs/>
          <w:color w:val="0070C0"/>
          <w:sz w:val="24"/>
          <w:szCs w:val="24"/>
          <w:u w:val="single"/>
        </w:rPr>
      </w:pPr>
      <w:hyperlink r:id="rId5" w:history="1">
        <w:r w:rsidRPr="00BE4FA4">
          <w:rPr>
            <w:rStyle w:val="Hyperlnk"/>
            <w:i/>
            <w:iCs/>
            <w:sz w:val="24"/>
            <w:szCs w:val="24"/>
          </w:rPr>
          <w:t>Merkostnadsersättning (forsakringskassan.se)</w:t>
        </w:r>
      </w:hyperlink>
    </w:p>
    <w:p w14:paraId="2B98270E" w14:textId="77777777" w:rsidR="00BE4FA4" w:rsidRDefault="00BE4FA4" w:rsidP="005C469C">
      <w:pPr>
        <w:pStyle w:val="Liststycke"/>
        <w:rPr>
          <w:rStyle w:val="Hyperlnk"/>
          <w:i/>
          <w:iCs/>
          <w:color w:val="0070C0"/>
          <w:sz w:val="24"/>
          <w:szCs w:val="24"/>
        </w:rPr>
      </w:pPr>
    </w:p>
    <w:p w14:paraId="3C6D5B26" w14:textId="25F93E5F" w:rsidR="009200BF" w:rsidRPr="004E21A3" w:rsidRDefault="009200BF" w:rsidP="004E21A3">
      <w:pPr>
        <w:pStyle w:val="Liststycke"/>
        <w:rPr>
          <w:i/>
          <w:iCs/>
          <w:sz w:val="24"/>
          <w:szCs w:val="24"/>
        </w:rPr>
      </w:pPr>
      <w:r>
        <w:rPr>
          <w:i/>
          <w:iCs/>
          <w:sz w:val="24"/>
          <w:szCs w:val="24"/>
        </w:rPr>
        <w:t>Observera</w:t>
      </w:r>
      <w:r w:rsidR="008A2B46">
        <w:rPr>
          <w:i/>
          <w:iCs/>
          <w:sz w:val="24"/>
          <w:szCs w:val="24"/>
        </w:rPr>
        <w:t xml:space="preserve"> att p</w:t>
      </w:r>
      <w:r w:rsidRPr="008A2B46">
        <w:rPr>
          <w:i/>
          <w:iCs/>
          <w:sz w:val="24"/>
          <w:szCs w:val="24"/>
        </w:rPr>
        <w:t>ersoner</w:t>
      </w:r>
      <w:r w:rsidR="00962DFC" w:rsidRPr="008A2B46">
        <w:rPr>
          <w:i/>
          <w:iCs/>
          <w:sz w:val="24"/>
          <w:szCs w:val="24"/>
        </w:rPr>
        <w:t xml:space="preserve"> kan beviljas merkostnadsersättning </w:t>
      </w:r>
      <w:r w:rsidR="00131834">
        <w:rPr>
          <w:i/>
          <w:iCs/>
          <w:sz w:val="24"/>
          <w:szCs w:val="24"/>
        </w:rPr>
        <w:t xml:space="preserve">enligt garantibelopp </w:t>
      </w:r>
      <w:r w:rsidRPr="008A2B46">
        <w:rPr>
          <w:i/>
          <w:iCs/>
          <w:sz w:val="24"/>
          <w:szCs w:val="24"/>
        </w:rPr>
        <w:t>efter att de</w:t>
      </w:r>
      <w:r w:rsidR="00962DFC" w:rsidRPr="008A2B46">
        <w:rPr>
          <w:i/>
          <w:iCs/>
          <w:sz w:val="24"/>
          <w:szCs w:val="24"/>
        </w:rPr>
        <w:t xml:space="preserve"> fyllt 66 år</w:t>
      </w:r>
      <w:r w:rsidR="008A2B46">
        <w:rPr>
          <w:i/>
          <w:iCs/>
          <w:sz w:val="24"/>
          <w:szCs w:val="24"/>
        </w:rPr>
        <w:t xml:space="preserve"> </w:t>
      </w:r>
      <w:r w:rsidR="00962DFC" w:rsidRPr="008A2B46">
        <w:rPr>
          <w:i/>
          <w:iCs/>
          <w:sz w:val="24"/>
          <w:szCs w:val="24"/>
        </w:rPr>
        <w:t>om d</w:t>
      </w:r>
      <w:r w:rsidRPr="008A2B46">
        <w:rPr>
          <w:i/>
          <w:iCs/>
          <w:sz w:val="24"/>
          <w:szCs w:val="24"/>
        </w:rPr>
        <w:t>e</w:t>
      </w:r>
      <w:r w:rsidR="008A2B46">
        <w:rPr>
          <w:i/>
          <w:iCs/>
          <w:sz w:val="24"/>
          <w:szCs w:val="24"/>
        </w:rPr>
        <w:t>t</w:t>
      </w:r>
      <w:r w:rsidR="00131834">
        <w:rPr>
          <w:i/>
          <w:iCs/>
          <w:sz w:val="24"/>
          <w:szCs w:val="24"/>
        </w:rPr>
        <w:t xml:space="preserve"> kan styrkas att </w:t>
      </w:r>
      <w:r w:rsidR="00BC1C0F">
        <w:rPr>
          <w:i/>
          <w:iCs/>
          <w:sz w:val="24"/>
          <w:szCs w:val="24"/>
        </w:rPr>
        <w:t>hör</w:t>
      </w:r>
      <w:r w:rsidR="004E21A3">
        <w:rPr>
          <w:i/>
          <w:iCs/>
          <w:sz w:val="24"/>
          <w:szCs w:val="24"/>
        </w:rPr>
        <w:t xml:space="preserve">selnedsättningen var grav </w:t>
      </w:r>
      <w:r w:rsidR="00962DFC" w:rsidRPr="008A2B46">
        <w:rPr>
          <w:i/>
          <w:iCs/>
          <w:sz w:val="24"/>
          <w:szCs w:val="24"/>
        </w:rPr>
        <w:t>innan d</w:t>
      </w:r>
      <w:r w:rsidRPr="008A2B46">
        <w:rPr>
          <w:i/>
          <w:iCs/>
          <w:sz w:val="24"/>
          <w:szCs w:val="24"/>
        </w:rPr>
        <w:t>e</w:t>
      </w:r>
      <w:r w:rsidR="00962DFC" w:rsidRPr="008A2B46">
        <w:rPr>
          <w:i/>
          <w:iCs/>
          <w:sz w:val="24"/>
          <w:szCs w:val="24"/>
        </w:rPr>
        <w:t xml:space="preserve"> fyllde 66 år. </w:t>
      </w:r>
      <w:r w:rsidR="00962DFC" w:rsidRPr="004E21A3">
        <w:rPr>
          <w:i/>
          <w:iCs/>
          <w:sz w:val="24"/>
          <w:szCs w:val="24"/>
        </w:rPr>
        <w:t xml:space="preserve">Åldersgränsen höjdes när pensionsåldern höjdes den 1/1 2023. Men för </w:t>
      </w:r>
      <w:r w:rsidRPr="004E21A3">
        <w:rPr>
          <w:i/>
          <w:iCs/>
          <w:sz w:val="24"/>
          <w:szCs w:val="24"/>
        </w:rPr>
        <w:t>personer</w:t>
      </w:r>
      <w:r w:rsidR="00962DFC" w:rsidRPr="004E21A3">
        <w:rPr>
          <w:i/>
          <w:iCs/>
          <w:sz w:val="24"/>
          <w:szCs w:val="24"/>
        </w:rPr>
        <w:t xml:space="preserve"> är född</w:t>
      </w:r>
      <w:r w:rsidRPr="004E21A3">
        <w:rPr>
          <w:i/>
          <w:iCs/>
          <w:sz w:val="24"/>
          <w:szCs w:val="24"/>
        </w:rPr>
        <w:t>a</w:t>
      </w:r>
      <w:r w:rsidR="00962DFC" w:rsidRPr="004E21A3">
        <w:rPr>
          <w:i/>
          <w:iCs/>
          <w:sz w:val="24"/>
          <w:szCs w:val="24"/>
        </w:rPr>
        <w:t xml:space="preserve"> 1957 eller tidigare gäller den gamla åldersgränsen på 65 år.</w:t>
      </w:r>
      <w:r w:rsidRPr="004E21A3">
        <w:rPr>
          <w:i/>
          <w:iCs/>
          <w:sz w:val="24"/>
          <w:szCs w:val="24"/>
        </w:rPr>
        <w:t xml:space="preserve"> Pengar betalas ut max 6 månader retroaktivt från det att merkostnadsersättning beviljas.</w:t>
      </w:r>
    </w:p>
    <w:p w14:paraId="4A4E8271" w14:textId="77777777" w:rsidR="009200BF" w:rsidRPr="003F239F" w:rsidRDefault="009200BF" w:rsidP="009200BF">
      <w:pPr>
        <w:pStyle w:val="Liststycke"/>
        <w:rPr>
          <w:i/>
          <w:iCs/>
          <w:sz w:val="24"/>
          <w:szCs w:val="24"/>
        </w:rPr>
      </w:pPr>
    </w:p>
    <w:p w14:paraId="40EF0763" w14:textId="2AEE7D5C" w:rsidR="009200BF" w:rsidRPr="00804E22" w:rsidRDefault="006D185C" w:rsidP="009200BF">
      <w:pPr>
        <w:pStyle w:val="Liststycke"/>
        <w:rPr>
          <w:i/>
          <w:iCs/>
          <w:sz w:val="24"/>
          <w:szCs w:val="24"/>
        </w:rPr>
      </w:pPr>
      <w:r>
        <w:rPr>
          <w:i/>
          <w:iCs/>
          <w:sz w:val="24"/>
          <w:szCs w:val="24"/>
        </w:rPr>
        <w:t>Observera även att</w:t>
      </w:r>
      <w:r w:rsidR="0000363E">
        <w:rPr>
          <w:i/>
          <w:iCs/>
          <w:sz w:val="24"/>
          <w:szCs w:val="24"/>
        </w:rPr>
        <w:t xml:space="preserve"> e</w:t>
      </w:r>
      <w:r w:rsidR="009200BF">
        <w:rPr>
          <w:i/>
          <w:iCs/>
          <w:sz w:val="24"/>
          <w:szCs w:val="24"/>
        </w:rPr>
        <w:t>n patient med hörselnedsättning, oavsett grad, kan söka merkostnadsersättning utan garantibelopp och då räknas faktiska merkostnader ihop och dessa måste överstiga ett visst belopp för att ersättning ska beviljas. Enbart kostnader för hörselnedsättning överstiger sällan minimibeloppet, men för personer med flera funktionsnedsättningar kan detta vara aktuellt. För intygsskrivande läkare är det av värde att känna till om patienten söker enligt garantibelopp eller inte.</w:t>
      </w:r>
      <w:r w:rsidR="003730CE">
        <w:rPr>
          <w:i/>
          <w:iCs/>
          <w:sz w:val="24"/>
          <w:szCs w:val="24"/>
        </w:rPr>
        <w:t xml:space="preserve"> Nedanstående råd gäller vid ansökan enligt garantibelopp</w:t>
      </w:r>
      <w:r w:rsidR="000C30D5">
        <w:rPr>
          <w:i/>
          <w:iCs/>
          <w:sz w:val="24"/>
          <w:szCs w:val="24"/>
        </w:rPr>
        <w:t>.</w:t>
      </w:r>
      <w:r w:rsidR="009200BF">
        <w:rPr>
          <w:i/>
          <w:iCs/>
          <w:sz w:val="24"/>
          <w:szCs w:val="24"/>
        </w:rPr>
        <w:t xml:space="preserve"> </w:t>
      </w:r>
    </w:p>
    <w:p w14:paraId="51E42340" w14:textId="77777777" w:rsidR="009200BF" w:rsidRDefault="009200BF" w:rsidP="005C469C">
      <w:pPr>
        <w:pStyle w:val="Liststycke"/>
        <w:rPr>
          <w:rStyle w:val="Hyperlnk"/>
          <w:i/>
          <w:iCs/>
          <w:color w:val="0070C0"/>
          <w:sz w:val="24"/>
          <w:szCs w:val="24"/>
        </w:rPr>
      </w:pPr>
    </w:p>
    <w:p w14:paraId="6D94E326" w14:textId="77777777" w:rsidR="00D1524F" w:rsidRDefault="00D1524F" w:rsidP="005C469C">
      <w:pPr>
        <w:pStyle w:val="Liststycke"/>
        <w:rPr>
          <w:rStyle w:val="Hyperlnk"/>
          <w:i/>
          <w:iCs/>
          <w:color w:val="0070C0"/>
          <w:sz w:val="24"/>
          <w:szCs w:val="24"/>
        </w:rPr>
      </w:pPr>
    </w:p>
    <w:p w14:paraId="7E7828B2" w14:textId="59B5D3F8" w:rsidR="00D74081" w:rsidRPr="002F4320" w:rsidRDefault="00B401A4" w:rsidP="00B401A4">
      <w:pPr>
        <w:ind w:firstLine="720"/>
        <w:rPr>
          <w:sz w:val="24"/>
          <w:szCs w:val="24"/>
        </w:rPr>
      </w:pPr>
      <w:r>
        <w:rPr>
          <w:sz w:val="24"/>
          <w:szCs w:val="24"/>
        </w:rPr>
        <w:t>SMAFs råd till intygsskrivande läkare:</w:t>
      </w:r>
    </w:p>
    <w:p w14:paraId="1871E824" w14:textId="6AB329FA" w:rsidR="000435B6" w:rsidRDefault="000435B6" w:rsidP="000435B6">
      <w:pPr>
        <w:pStyle w:val="Liststycke"/>
        <w:rPr>
          <w:sz w:val="24"/>
          <w:szCs w:val="24"/>
        </w:rPr>
      </w:pPr>
      <w:r>
        <w:rPr>
          <w:sz w:val="24"/>
          <w:szCs w:val="24"/>
        </w:rPr>
        <w:t>Försäkringskassan</w:t>
      </w:r>
      <w:r w:rsidR="00EA4EF1">
        <w:rPr>
          <w:sz w:val="24"/>
          <w:szCs w:val="24"/>
        </w:rPr>
        <w:t xml:space="preserve"> (FK)</w:t>
      </w:r>
      <w:r>
        <w:rPr>
          <w:sz w:val="24"/>
          <w:szCs w:val="24"/>
        </w:rPr>
        <w:t xml:space="preserve"> önskar uppgifter om TMV4, </w:t>
      </w:r>
      <w:proofErr w:type="spellStart"/>
      <w:r>
        <w:rPr>
          <w:sz w:val="24"/>
          <w:szCs w:val="24"/>
        </w:rPr>
        <w:t>Maxtal</w:t>
      </w:r>
      <w:proofErr w:type="spellEnd"/>
      <w:r>
        <w:rPr>
          <w:sz w:val="24"/>
          <w:szCs w:val="24"/>
        </w:rPr>
        <w:t xml:space="preserve"> med lurar och </w:t>
      </w:r>
      <w:proofErr w:type="spellStart"/>
      <w:r>
        <w:rPr>
          <w:sz w:val="24"/>
          <w:szCs w:val="24"/>
        </w:rPr>
        <w:t>Taltest</w:t>
      </w:r>
      <w:proofErr w:type="spellEnd"/>
      <w:r>
        <w:rPr>
          <w:sz w:val="24"/>
          <w:szCs w:val="24"/>
        </w:rPr>
        <w:t xml:space="preserve"> med bästa möjliga hjälpmedel (</w:t>
      </w:r>
      <w:r w:rsidR="004767DF">
        <w:rPr>
          <w:sz w:val="24"/>
          <w:szCs w:val="24"/>
        </w:rPr>
        <w:t xml:space="preserve">FB-ord i fritt fält </w:t>
      </w:r>
      <w:r>
        <w:rPr>
          <w:sz w:val="24"/>
          <w:szCs w:val="24"/>
        </w:rPr>
        <w:t>båda öronen tillsammans inte var för sig).</w:t>
      </w:r>
    </w:p>
    <w:p w14:paraId="64E3735C" w14:textId="7F5646E7" w:rsidR="000435B6" w:rsidRDefault="000435B6" w:rsidP="000435B6">
      <w:pPr>
        <w:pStyle w:val="Liststycke"/>
        <w:rPr>
          <w:sz w:val="24"/>
          <w:szCs w:val="24"/>
        </w:rPr>
      </w:pPr>
      <w:r>
        <w:rPr>
          <w:sz w:val="24"/>
          <w:szCs w:val="24"/>
        </w:rPr>
        <w:t>Det är inte nödvändigt att skicka med kopior på mätningarna så länge resultaten är väldokumenterade i intyget</w:t>
      </w:r>
      <w:r w:rsidR="002505A1">
        <w:rPr>
          <w:sz w:val="24"/>
          <w:szCs w:val="24"/>
        </w:rPr>
        <w:t xml:space="preserve">. </w:t>
      </w:r>
      <w:r>
        <w:rPr>
          <w:sz w:val="24"/>
          <w:szCs w:val="24"/>
        </w:rPr>
        <w:t>FK kan kräva intyg men inte kopior på resultat så länge efterfrågade uppgifter finns i intyget.</w:t>
      </w:r>
    </w:p>
    <w:p w14:paraId="04CD78CD" w14:textId="77777777" w:rsidR="000435B6" w:rsidRDefault="000435B6" w:rsidP="000435B6">
      <w:pPr>
        <w:pStyle w:val="Liststycke"/>
        <w:rPr>
          <w:sz w:val="24"/>
          <w:szCs w:val="24"/>
        </w:rPr>
      </w:pPr>
    </w:p>
    <w:p w14:paraId="59A004EC" w14:textId="16A1F560" w:rsidR="000435B6" w:rsidRDefault="000435B6" w:rsidP="000435B6">
      <w:pPr>
        <w:pStyle w:val="Liststycke"/>
        <w:rPr>
          <w:sz w:val="24"/>
          <w:szCs w:val="24"/>
        </w:rPr>
      </w:pPr>
      <w:r>
        <w:rPr>
          <w:sz w:val="24"/>
          <w:szCs w:val="24"/>
        </w:rPr>
        <w:lastRenderedPageBreak/>
        <w:t xml:space="preserve">TMV4 sämre än 70 dB HL på bästa </w:t>
      </w:r>
      <w:r w:rsidR="00E35477">
        <w:rPr>
          <w:sz w:val="24"/>
          <w:szCs w:val="24"/>
        </w:rPr>
        <w:t>ö</w:t>
      </w:r>
      <w:r>
        <w:rPr>
          <w:sz w:val="24"/>
          <w:szCs w:val="24"/>
        </w:rPr>
        <w:t>rat är utgångsvärdet. Är detta uppfyllt kan man börja fundera på att söka merkostnadsersättning</w:t>
      </w:r>
      <w:r w:rsidR="00E72EAB">
        <w:rPr>
          <w:sz w:val="24"/>
          <w:szCs w:val="24"/>
        </w:rPr>
        <w:t xml:space="preserve"> enligt garantibelopp</w:t>
      </w:r>
      <w:r>
        <w:rPr>
          <w:sz w:val="24"/>
          <w:szCs w:val="24"/>
        </w:rPr>
        <w:t xml:space="preserve">. (Skulle TMV 4 vara bättre än ovan krävs tydlig motivering i läkarintyget. Detta skulle t ex kunna vara aktuellt vid auditiv </w:t>
      </w:r>
      <w:proofErr w:type="spellStart"/>
      <w:r>
        <w:rPr>
          <w:sz w:val="24"/>
          <w:szCs w:val="24"/>
        </w:rPr>
        <w:t>neuropati</w:t>
      </w:r>
      <w:proofErr w:type="spellEnd"/>
      <w:r>
        <w:rPr>
          <w:sz w:val="24"/>
          <w:szCs w:val="24"/>
        </w:rPr>
        <w:t xml:space="preserve"> med mycket dålig taluppfattning)</w:t>
      </w:r>
    </w:p>
    <w:p w14:paraId="6AE9B144" w14:textId="68D5F5B8" w:rsidR="000435B6" w:rsidRDefault="000435B6" w:rsidP="000435B6">
      <w:pPr>
        <w:pStyle w:val="Liststycke"/>
        <w:rPr>
          <w:sz w:val="24"/>
          <w:szCs w:val="24"/>
        </w:rPr>
      </w:pPr>
      <w:r>
        <w:rPr>
          <w:sz w:val="24"/>
          <w:szCs w:val="24"/>
        </w:rPr>
        <w:t xml:space="preserve">Vid Max tal sämre än 50 % kan man också fundera på att söka merkostnadsersättning. Anledningen till att FK vill ha detta värde är för att bedöma om </w:t>
      </w:r>
      <w:r w:rsidR="00A35A50">
        <w:rPr>
          <w:sz w:val="24"/>
          <w:szCs w:val="24"/>
        </w:rPr>
        <w:t xml:space="preserve">taluppfattningen som anges med hörhjälpmedel är rimlig. </w:t>
      </w:r>
    </w:p>
    <w:p w14:paraId="22426E3F" w14:textId="77777777" w:rsidR="000435B6" w:rsidRDefault="000435B6" w:rsidP="000435B6">
      <w:pPr>
        <w:pStyle w:val="Liststycke"/>
        <w:rPr>
          <w:sz w:val="24"/>
          <w:szCs w:val="24"/>
        </w:rPr>
      </w:pPr>
    </w:p>
    <w:p w14:paraId="698C3A21" w14:textId="05629DCF" w:rsidR="000435B6" w:rsidRDefault="000435B6" w:rsidP="000435B6">
      <w:pPr>
        <w:pStyle w:val="Liststycke"/>
        <w:rPr>
          <w:sz w:val="24"/>
          <w:szCs w:val="24"/>
        </w:rPr>
      </w:pPr>
      <w:r>
        <w:rPr>
          <w:sz w:val="24"/>
          <w:szCs w:val="24"/>
        </w:rPr>
        <w:t xml:space="preserve">Den avgörande mätningen är </w:t>
      </w:r>
      <w:proofErr w:type="spellStart"/>
      <w:r>
        <w:rPr>
          <w:sz w:val="24"/>
          <w:szCs w:val="24"/>
        </w:rPr>
        <w:t>talmätning</w:t>
      </w:r>
      <w:proofErr w:type="spellEnd"/>
      <w:r>
        <w:rPr>
          <w:sz w:val="24"/>
          <w:szCs w:val="24"/>
        </w:rPr>
        <w:t xml:space="preserve"> med bästa möjliga hjälpmedel på plats (tex CI på höger öra och hörapparat på vänster eller vad nu patienten använder till vardags). Det är denna ”frifältsmätning” med FB ord i en tyst </w:t>
      </w:r>
      <w:r w:rsidR="00515954">
        <w:rPr>
          <w:sz w:val="24"/>
          <w:szCs w:val="24"/>
        </w:rPr>
        <w:t>hörsel</w:t>
      </w:r>
      <w:r>
        <w:rPr>
          <w:sz w:val="24"/>
          <w:szCs w:val="24"/>
        </w:rPr>
        <w:t>bur som är avgörande för om det blir merkostnadsersättning enligt garantibelopp. Enligt rättspraxis har man rätt till detta om man uppfattar mind</w:t>
      </w:r>
      <w:r w:rsidR="00EA7B6B">
        <w:rPr>
          <w:sz w:val="24"/>
          <w:szCs w:val="24"/>
        </w:rPr>
        <w:t>re</w:t>
      </w:r>
      <w:r>
        <w:rPr>
          <w:sz w:val="24"/>
          <w:szCs w:val="24"/>
        </w:rPr>
        <w:t xml:space="preserve"> än 50 % av orden.</w:t>
      </w:r>
    </w:p>
    <w:p w14:paraId="439EFC9F" w14:textId="05886E06" w:rsidR="000435B6" w:rsidRDefault="000435B6" w:rsidP="000435B6">
      <w:pPr>
        <w:pStyle w:val="Liststycke"/>
        <w:rPr>
          <w:sz w:val="24"/>
          <w:szCs w:val="24"/>
        </w:rPr>
      </w:pPr>
    </w:p>
    <w:p w14:paraId="186B99D4" w14:textId="5A76E178" w:rsidR="00A35A50" w:rsidRDefault="00A35A50" w:rsidP="00A35A50">
      <w:pPr>
        <w:pStyle w:val="Liststycke"/>
        <w:rPr>
          <w:sz w:val="24"/>
          <w:szCs w:val="24"/>
        </w:rPr>
      </w:pPr>
      <w:r>
        <w:rPr>
          <w:sz w:val="24"/>
          <w:szCs w:val="24"/>
        </w:rPr>
        <w:t>Man ska inte göra onödiga mätningar. I intyget kan man förklara varför man inte gjort vissa mätningar eller varför man hänvisar till en äldre mätning. För patient utan resthörsel med bilaterala CI så är inte läng</w:t>
      </w:r>
      <w:r w:rsidR="00871AA5">
        <w:rPr>
          <w:sz w:val="24"/>
          <w:szCs w:val="24"/>
        </w:rPr>
        <w:t>re</w:t>
      </w:r>
      <w:r>
        <w:rPr>
          <w:sz w:val="24"/>
          <w:szCs w:val="24"/>
        </w:rPr>
        <w:t xml:space="preserve"> ton och </w:t>
      </w:r>
      <w:r w:rsidR="00871AA5">
        <w:rPr>
          <w:sz w:val="24"/>
          <w:szCs w:val="24"/>
        </w:rPr>
        <w:t>tal mätning</w:t>
      </w:r>
      <w:r>
        <w:rPr>
          <w:sz w:val="24"/>
          <w:szCs w:val="24"/>
        </w:rPr>
        <w:t xml:space="preserve"> aktuellt.</w:t>
      </w:r>
      <w:r w:rsidR="00871AA5">
        <w:rPr>
          <w:sz w:val="24"/>
          <w:szCs w:val="24"/>
        </w:rPr>
        <w:t xml:space="preserve"> </w:t>
      </w:r>
    </w:p>
    <w:p w14:paraId="5DF19846" w14:textId="77777777" w:rsidR="00A35A50" w:rsidRDefault="00A35A50" w:rsidP="000435B6">
      <w:pPr>
        <w:pStyle w:val="Liststycke"/>
        <w:rPr>
          <w:sz w:val="24"/>
          <w:szCs w:val="24"/>
        </w:rPr>
      </w:pPr>
    </w:p>
    <w:p w14:paraId="454E4A89" w14:textId="7763B56F" w:rsidR="000435B6" w:rsidRDefault="000435B6" w:rsidP="000435B6">
      <w:pPr>
        <w:pStyle w:val="Liststycke"/>
        <w:rPr>
          <w:sz w:val="24"/>
          <w:szCs w:val="24"/>
        </w:rPr>
      </w:pPr>
      <w:r>
        <w:rPr>
          <w:sz w:val="24"/>
          <w:szCs w:val="24"/>
        </w:rPr>
        <w:t xml:space="preserve">I intyget </w:t>
      </w:r>
      <w:r w:rsidR="00D80555">
        <w:rPr>
          <w:sz w:val="24"/>
          <w:szCs w:val="24"/>
        </w:rPr>
        <w:t xml:space="preserve">ska patientens </w:t>
      </w:r>
      <w:r>
        <w:rPr>
          <w:sz w:val="24"/>
          <w:szCs w:val="24"/>
        </w:rPr>
        <w:t>funktionsnedsättning och aktivitetsbegränsning</w:t>
      </w:r>
      <w:r w:rsidR="00D80555" w:rsidRPr="00D80555">
        <w:rPr>
          <w:sz w:val="24"/>
          <w:szCs w:val="24"/>
        </w:rPr>
        <w:t xml:space="preserve"> </w:t>
      </w:r>
      <w:r w:rsidR="00D80555">
        <w:rPr>
          <w:sz w:val="24"/>
          <w:szCs w:val="24"/>
        </w:rPr>
        <w:t>beskrivas</w:t>
      </w:r>
      <w:r>
        <w:rPr>
          <w:sz w:val="24"/>
          <w:szCs w:val="24"/>
        </w:rPr>
        <w:t>. Ange behov av läppavläsning</w:t>
      </w:r>
      <w:r w:rsidR="00750236">
        <w:rPr>
          <w:sz w:val="24"/>
          <w:szCs w:val="24"/>
        </w:rPr>
        <w:t>.</w:t>
      </w:r>
      <w:r>
        <w:rPr>
          <w:sz w:val="24"/>
          <w:szCs w:val="24"/>
        </w:rPr>
        <w:t xml:space="preserve"> </w:t>
      </w:r>
      <w:r w:rsidR="00750236">
        <w:rPr>
          <w:sz w:val="24"/>
          <w:szCs w:val="24"/>
        </w:rPr>
        <w:t>Ange</w:t>
      </w:r>
      <w:r>
        <w:rPr>
          <w:sz w:val="24"/>
          <w:szCs w:val="24"/>
        </w:rPr>
        <w:t xml:space="preserve"> graden av lyssningsansträngning i vardagsmiljö. Den ursprungliga definitionen av vilka som har rätt till ersättning </w:t>
      </w:r>
      <w:r w:rsidR="00E034B3">
        <w:rPr>
          <w:sz w:val="24"/>
          <w:szCs w:val="24"/>
        </w:rPr>
        <w:t>säger</w:t>
      </w:r>
      <w:r>
        <w:rPr>
          <w:sz w:val="24"/>
          <w:szCs w:val="24"/>
        </w:rPr>
        <w:t xml:space="preserve"> att den som med hörhjälpmedel inte kan höra vad som sägs med vanlig samtalsstämma, på en meters håll, i tyst miljö och utan läppavläsning, är den som har rätt till merkostnadsersättning. </w:t>
      </w:r>
      <w:r w:rsidR="00871AA5">
        <w:rPr>
          <w:sz w:val="24"/>
          <w:szCs w:val="24"/>
        </w:rPr>
        <w:t xml:space="preserve">Uppgift om detta bör </w:t>
      </w:r>
      <w:r w:rsidR="00E034B3">
        <w:rPr>
          <w:sz w:val="24"/>
          <w:szCs w:val="24"/>
        </w:rPr>
        <w:t xml:space="preserve">därför </w:t>
      </w:r>
      <w:r w:rsidR="00871AA5">
        <w:rPr>
          <w:sz w:val="24"/>
          <w:szCs w:val="24"/>
        </w:rPr>
        <w:t>finnas med i intyget</w:t>
      </w:r>
      <w:r w:rsidR="00DC356C">
        <w:rPr>
          <w:sz w:val="24"/>
          <w:szCs w:val="24"/>
        </w:rPr>
        <w:t>.</w:t>
      </w:r>
      <w:r w:rsidR="003C2EF2">
        <w:rPr>
          <w:sz w:val="24"/>
          <w:szCs w:val="24"/>
        </w:rPr>
        <w:t xml:space="preserve"> </w:t>
      </w:r>
      <w:r w:rsidR="00DC356C">
        <w:rPr>
          <w:sz w:val="24"/>
          <w:szCs w:val="24"/>
        </w:rPr>
        <w:t>D</w:t>
      </w:r>
      <w:r w:rsidR="003C2EF2">
        <w:rPr>
          <w:sz w:val="24"/>
          <w:szCs w:val="24"/>
        </w:rPr>
        <w:t xml:space="preserve">et är också </w:t>
      </w:r>
      <w:r w:rsidR="00C53772">
        <w:rPr>
          <w:sz w:val="24"/>
          <w:szCs w:val="24"/>
        </w:rPr>
        <w:t xml:space="preserve">viktigt att det framgår hur patienten fungerar i vardagsmiljö det vill säga </w:t>
      </w:r>
      <w:r>
        <w:rPr>
          <w:sz w:val="24"/>
          <w:szCs w:val="24"/>
        </w:rPr>
        <w:t xml:space="preserve">med </w:t>
      </w:r>
      <w:r w:rsidR="00C53772">
        <w:rPr>
          <w:sz w:val="24"/>
          <w:szCs w:val="24"/>
        </w:rPr>
        <w:t xml:space="preserve">visst </w:t>
      </w:r>
      <w:r>
        <w:rPr>
          <w:sz w:val="24"/>
          <w:szCs w:val="24"/>
        </w:rPr>
        <w:t xml:space="preserve">bakgrundsljud och hur patienten påverkas av </w:t>
      </w:r>
      <w:proofErr w:type="spellStart"/>
      <w:r>
        <w:rPr>
          <w:sz w:val="24"/>
          <w:szCs w:val="24"/>
        </w:rPr>
        <w:t>störljud</w:t>
      </w:r>
      <w:proofErr w:type="spellEnd"/>
      <w:r w:rsidR="00DC356C">
        <w:rPr>
          <w:sz w:val="24"/>
          <w:szCs w:val="24"/>
        </w:rPr>
        <w:t xml:space="preserve">. </w:t>
      </w:r>
      <w:r>
        <w:rPr>
          <w:sz w:val="24"/>
          <w:szCs w:val="24"/>
        </w:rPr>
        <w:t>Lika så är det viktigt at ange lyssningsansträngning, det vill säga hur länge patienten orkar delta i ett samtal</w:t>
      </w:r>
      <w:r w:rsidR="002F231D">
        <w:rPr>
          <w:sz w:val="24"/>
          <w:szCs w:val="24"/>
        </w:rPr>
        <w:t>.</w:t>
      </w:r>
      <w:r>
        <w:rPr>
          <w:sz w:val="24"/>
          <w:szCs w:val="24"/>
        </w:rPr>
        <w:t xml:space="preserve"> </w:t>
      </w:r>
      <w:r w:rsidR="004E7DEE">
        <w:rPr>
          <w:sz w:val="24"/>
          <w:szCs w:val="24"/>
        </w:rPr>
        <w:t xml:space="preserve">Detta blir särskilt viktigt att beskriva för de patienter som </w:t>
      </w:r>
      <w:r w:rsidR="00B2697E">
        <w:rPr>
          <w:sz w:val="24"/>
          <w:szCs w:val="24"/>
        </w:rPr>
        <w:t xml:space="preserve">definitionsmässigt </w:t>
      </w:r>
      <w:r w:rsidR="00253F45">
        <w:rPr>
          <w:sz w:val="24"/>
          <w:szCs w:val="24"/>
        </w:rPr>
        <w:t>”</w:t>
      </w:r>
      <w:r w:rsidR="00B2697E">
        <w:rPr>
          <w:sz w:val="24"/>
          <w:szCs w:val="24"/>
        </w:rPr>
        <w:t>hör lite för bra på hörseltesterna</w:t>
      </w:r>
      <w:r w:rsidR="00253F45">
        <w:rPr>
          <w:sz w:val="24"/>
          <w:szCs w:val="24"/>
        </w:rPr>
        <w:t>”,</w:t>
      </w:r>
      <w:r w:rsidR="00B2697E">
        <w:rPr>
          <w:sz w:val="24"/>
          <w:szCs w:val="24"/>
        </w:rPr>
        <w:t xml:space="preserve"> men som är mycket känsliga för </w:t>
      </w:r>
      <w:r w:rsidR="00253F45">
        <w:rPr>
          <w:sz w:val="24"/>
          <w:szCs w:val="24"/>
        </w:rPr>
        <w:t xml:space="preserve">minsta </w:t>
      </w:r>
      <w:proofErr w:type="spellStart"/>
      <w:r w:rsidR="006D709A">
        <w:rPr>
          <w:sz w:val="24"/>
          <w:szCs w:val="24"/>
        </w:rPr>
        <w:t>störljud</w:t>
      </w:r>
      <w:proofErr w:type="spellEnd"/>
      <w:r w:rsidR="006D709A">
        <w:rPr>
          <w:sz w:val="24"/>
          <w:szCs w:val="24"/>
        </w:rPr>
        <w:t xml:space="preserve"> och därmed </w:t>
      </w:r>
      <w:r w:rsidR="00382D2D">
        <w:rPr>
          <w:sz w:val="24"/>
          <w:szCs w:val="24"/>
        </w:rPr>
        <w:t>har mycket stora hörselsvårigheter i vardagen.</w:t>
      </w:r>
      <w:r w:rsidR="00DA00B2">
        <w:rPr>
          <w:sz w:val="24"/>
          <w:szCs w:val="24"/>
        </w:rPr>
        <w:t xml:space="preserve"> Eller </w:t>
      </w:r>
      <w:r w:rsidR="00253F45">
        <w:rPr>
          <w:sz w:val="24"/>
          <w:szCs w:val="24"/>
        </w:rPr>
        <w:t xml:space="preserve">patienter som </w:t>
      </w:r>
      <w:r w:rsidR="00DA00B2">
        <w:rPr>
          <w:sz w:val="24"/>
          <w:szCs w:val="24"/>
        </w:rPr>
        <w:t>av någon anledning inte kan använda sina hörhjälpmedel under</w:t>
      </w:r>
      <w:r w:rsidR="009218F5">
        <w:rPr>
          <w:sz w:val="24"/>
          <w:szCs w:val="24"/>
        </w:rPr>
        <w:t xml:space="preserve"> en stor del av dygnet</w:t>
      </w:r>
      <w:r w:rsidR="00DA00B2">
        <w:rPr>
          <w:sz w:val="24"/>
          <w:szCs w:val="24"/>
        </w:rPr>
        <w:t>.</w:t>
      </w:r>
    </w:p>
    <w:p w14:paraId="6F2AAC63" w14:textId="6ED8505E" w:rsidR="000435B6" w:rsidRDefault="000435B6" w:rsidP="000435B6">
      <w:pPr>
        <w:pStyle w:val="Liststycke"/>
        <w:rPr>
          <w:sz w:val="24"/>
          <w:szCs w:val="24"/>
        </w:rPr>
      </w:pPr>
    </w:p>
    <w:p w14:paraId="7B901F01" w14:textId="04BFC515" w:rsidR="000435B6" w:rsidRDefault="000435B6" w:rsidP="000435B6">
      <w:pPr>
        <w:pStyle w:val="Liststycke"/>
        <w:rPr>
          <w:sz w:val="24"/>
          <w:szCs w:val="24"/>
        </w:rPr>
      </w:pPr>
      <w:r>
        <w:rPr>
          <w:sz w:val="24"/>
          <w:szCs w:val="24"/>
        </w:rPr>
        <w:t xml:space="preserve">FK önskar också veta om en CI utredning pågår eller snart är aktuell. Det påverkar inte rätten till ersättning, men kan innebära att FK lägger in ett beslut om omprövning efter några år. Likaså är det därför viktigt att skriva om patienten </w:t>
      </w:r>
      <w:r w:rsidR="00A35A50">
        <w:rPr>
          <w:sz w:val="24"/>
          <w:szCs w:val="24"/>
        </w:rPr>
        <w:t>genomgått CI utredning men där man bedömt att CI inte är möjligt. Då behövs ingen omprövning.</w:t>
      </w:r>
    </w:p>
    <w:p w14:paraId="504E578C" w14:textId="77777777" w:rsidR="002505A1" w:rsidRDefault="002505A1" w:rsidP="000435B6">
      <w:pPr>
        <w:pStyle w:val="Liststycke"/>
        <w:rPr>
          <w:sz w:val="24"/>
          <w:szCs w:val="24"/>
        </w:rPr>
      </w:pPr>
    </w:p>
    <w:p w14:paraId="3412427E" w14:textId="703410B7" w:rsidR="000435B6" w:rsidRDefault="00DE4632" w:rsidP="00597129">
      <w:pPr>
        <w:pStyle w:val="Liststycke"/>
        <w:rPr>
          <w:sz w:val="24"/>
          <w:szCs w:val="24"/>
        </w:rPr>
      </w:pPr>
      <w:r>
        <w:rPr>
          <w:sz w:val="24"/>
          <w:szCs w:val="24"/>
        </w:rPr>
        <w:t xml:space="preserve">Meningen är att </w:t>
      </w:r>
      <w:r w:rsidR="002505A1">
        <w:rPr>
          <w:sz w:val="24"/>
          <w:szCs w:val="24"/>
        </w:rPr>
        <w:t xml:space="preserve">FK ska vända sig till vården vid behov av kompletterande uppgifter </w:t>
      </w:r>
      <w:r>
        <w:rPr>
          <w:sz w:val="24"/>
          <w:szCs w:val="24"/>
        </w:rPr>
        <w:t xml:space="preserve">och </w:t>
      </w:r>
      <w:r w:rsidR="002505A1">
        <w:rPr>
          <w:sz w:val="24"/>
          <w:szCs w:val="24"/>
        </w:rPr>
        <w:t>inte använda patienten som budbärare.</w:t>
      </w:r>
      <w:r>
        <w:rPr>
          <w:sz w:val="24"/>
          <w:szCs w:val="24"/>
        </w:rPr>
        <w:t xml:space="preserve"> FK jobbar på att bli bättre på detta.</w:t>
      </w:r>
    </w:p>
    <w:p w14:paraId="6F4D1163" w14:textId="77777777" w:rsidR="00597129" w:rsidRPr="00597129" w:rsidRDefault="00597129" w:rsidP="00597129">
      <w:pPr>
        <w:pStyle w:val="Liststycke"/>
        <w:rPr>
          <w:sz w:val="24"/>
          <w:szCs w:val="24"/>
        </w:rPr>
      </w:pPr>
    </w:p>
    <w:p w14:paraId="06DC9D66" w14:textId="76C54D6E" w:rsidR="00657BC2" w:rsidRDefault="00B24E72" w:rsidP="00B96146">
      <w:pPr>
        <w:pStyle w:val="Liststycke"/>
        <w:rPr>
          <w:sz w:val="24"/>
          <w:szCs w:val="24"/>
        </w:rPr>
      </w:pPr>
      <w:r>
        <w:rPr>
          <w:sz w:val="24"/>
          <w:szCs w:val="24"/>
        </w:rPr>
        <w:tab/>
      </w:r>
      <w:r w:rsidR="00B96146">
        <w:rPr>
          <w:sz w:val="24"/>
          <w:szCs w:val="24"/>
        </w:rPr>
        <w:tab/>
      </w:r>
      <w:r w:rsidR="00B96146">
        <w:rPr>
          <w:sz w:val="24"/>
          <w:szCs w:val="24"/>
        </w:rPr>
        <w:tab/>
      </w:r>
      <w:r w:rsidR="00B96146">
        <w:rPr>
          <w:sz w:val="24"/>
          <w:szCs w:val="24"/>
        </w:rPr>
        <w:tab/>
      </w:r>
      <w:r w:rsidR="0057611C" w:rsidRPr="00B96146">
        <w:rPr>
          <w:sz w:val="24"/>
          <w:szCs w:val="24"/>
        </w:rPr>
        <w:t>För SMAF Elsa Erixon 2023-11-0</w:t>
      </w:r>
      <w:r w:rsidR="007F5F02" w:rsidRPr="00B96146">
        <w:rPr>
          <w:sz w:val="24"/>
          <w:szCs w:val="24"/>
        </w:rPr>
        <w:t>9</w:t>
      </w:r>
    </w:p>
    <w:p w14:paraId="58FC2436" w14:textId="77777777" w:rsidR="00B96146" w:rsidRDefault="00B96146" w:rsidP="00B96146">
      <w:pPr>
        <w:pStyle w:val="Liststycke"/>
        <w:rPr>
          <w:sz w:val="24"/>
          <w:szCs w:val="24"/>
        </w:rPr>
      </w:pPr>
    </w:p>
    <w:p w14:paraId="6ED5621F" w14:textId="77777777" w:rsidR="00B96146" w:rsidRPr="00B96146" w:rsidRDefault="00B96146" w:rsidP="00B96146">
      <w:pPr>
        <w:pStyle w:val="Liststycke"/>
        <w:rPr>
          <w:sz w:val="24"/>
          <w:szCs w:val="24"/>
        </w:rPr>
      </w:pPr>
    </w:p>
    <w:sectPr w:rsidR="00B96146" w:rsidRPr="00B96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67B9D"/>
    <w:multiLevelType w:val="hybridMultilevel"/>
    <w:tmpl w:val="2CE8421E"/>
    <w:lvl w:ilvl="0" w:tplc="ED208768">
      <w:start w:val="1"/>
      <w:numFmt w:val="bullet"/>
      <w:lvlText w:val="•"/>
      <w:lvlJc w:val="left"/>
      <w:pPr>
        <w:tabs>
          <w:tab w:val="num" w:pos="720"/>
        </w:tabs>
        <w:ind w:left="720" w:hanging="360"/>
      </w:pPr>
      <w:rPr>
        <w:rFonts w:ascii="Arial" w:hAnsi="Arial" w:hint="default"/>
      </w:rPr>
    </w:lvl>
    <w:lvl w:ilvl="1" w:tplc="0AEA2BFE" w:tentative="1">
      <w:start w:val="1"/>
      <w:numFmt w:val="bullet"/>
      <w:lvlText w:val="•"/>
      <w:lvlJc w:val="left"/>
      <w:pPr>
        <w:tabs>
          <w:tab w:val="num" w:pos="1440"/>
        </w:tabs>
        <w:ind w:left="1440" w:hanging="360"/>
      </w:pPr>
      <w:rPr>
        <w:rFonts w:ascii="Arial" w:hAnsi="Arial" w:hint="default"/>
      </w:rPr>
    </w:lvl>
    <w:lvl w:ilvl="2" w:tplc="F6F84BD2" w:tentative="1">
      <w:start w:val="1"/>
      <w:numFmt w:val="bullet"/>
      <w:lvlText w:val="•"/>
      <w:lvlJc w:val="left"/>
      <w:pPr>
        <w:tabs>
          <w:tab w:val="num" w:pos="2160"/>
        </w:tabs>
        <w:ind w:left="2160" w:hanging="360"/>
      </w:pPr>
      <w:rPr>
        <w:rFonts w:ascii="Arial" w:hAnsi="Arial" w:hint="default"/>
      </w:rPr>
    </w:lvl>
    <w:lvl w:ilvl="3" w:tplc="12A231BA" w:tentative="1">
      <w:start w:val="1"/>
      <w:numFmt w:val="bullet"/>
      <w:lvlText w:val="•"/>
      <w:lvlJc w:val="left"/>
      <w:pPr>
        <w:tabs>
          <w:tab w:val="num" w:pos="2880"/>
        </w:tabs>
        <w:ind w:left="2880" w:hanging="360"/>
      </w:pPr>
      <w:rPr>
        <w:rFonts w:ascii="Arial" w:hAnsi="Arial" w:hint="default"/>
      </w:rPr>
    </w:lvl>
    <w:lvl w:ilvl="4" w:tplc="FC0E422C" w:tentative="1">
      <w:start w:val="1"/>
      <w:numFmt w:val="bullet"/>
      <w:lvlText w:val="•"/>
      <w:lvlJc w:val="left"/>
      <w:pPr>
        <w:tabs>
          <w:tab w:val="num" w:pos="3600"/>
        </w:tabs>
        <w:ind w:left="3600" w:hanging="360"/>
      </w:pPr>
      <w:rPr>
        <w:rFonts w:ascii="Arial" w:hAnsi="Arial" w:hint="default"/>
      </w:rPr>
    </w:lvl>
    <w:lvl w:ilvl="5" w:tplc="047E9060" w:tentative="1">
      <w:start w:val="1"/>
      <w:numFmt w:val="bullet"/>
      <w:lvlText w:val="•"/>
      <w:lvlJc w:val="left"/>
      <w:pPr>
        <w:tabs>
          <w:tab w:val="num" w:pos="4320"/>
        </w:tabs>
        <w:ind w:left="4320" w:hanging="360"/>
      </w:pPr>
      <w:rPr>
        <w:rFonts w:ascii="Arial" w:hAnsi="Arial" w:hint="default"/>
      </w:rPr>
    </w:lvl>
    <w:lvl w:ilvl="6" w:tplc="3E92F484" w:tentative="1">
      <w:start w:val="1"/>
      <w:numFmt w:val="bullet"/>
      <w:lvlText w:val="•"/>
      <w:lvlJc w:val="left"/>
      <w:pPr>
        <w:tabs>
          <w:tab w:val="num" w:pos="5040"/>
        </w:tabs>
        <w:ind w:left="5040" w:hanging="360"/>
      </w:pPr>
      <w:rPr>
        <w:rFonts w:ascii="Arial" w:hAnsi="Arial" w:hint="default"/>
      </w:rPr>
    </w:lvl>
    <w:lvl w:ilvl="7" w:tplc="13C83DDE" w:tentative="1">
      <w:start w:val="1"/>
      <w:numFmt w:val="bullet"/>
      <w:lvlText w:val="•"/>
      <w:lvlJc w:val="left"/>
      <w:pPr>
        <w:tabs>
          <w:tab w:val="num" w:pos="5760"/>
        </w:tabs>
        <w:ind w:left="5760" w:hanging="360"/>
      </w:pPr>
      <w:rPr>
        <w:rFonts w:ascii="Arial" w:hAnsi="Arial" w:hint="default"/>
      </w:rPr>
    </w:lvl>
    <w:lvl w:ilvl="8" w:tplc="F22C0B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41344C1"/>
    <w:multiLevelType w:val="multilevel"/>
    <w:tmpl w:val="A1B6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0975800">
    <w:abstractNumId w:val="1"/>
  </w:num>
  <w:num w:numId="2" w16cid:durableId="138649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B6"/>
    <w:rsid w:val="0000363E"/>
    <w:rsid w:val="00023F3E"/>
    <w:rsid w:val="000435B6"/>
    <w:rsid w:val="00050D46"/>
    <w:rsid w:val="00072EF4"/>
    <w:rsid w:val="000943A3"/>
    <w:rsid w:val="000C30D5"/>
    <w:rsid w:val="000F7A8C"/>
    <w:rsid w:val="00131834"/>
    <w:rsid w:val="00154FF0"/>
    <w:rsid w:val="0016794F"/>
    <w:rsid w:val="00194472"/>
    <w:rsid w:val="0019488D"/>
    <w:rsid w:val="00196312"/>
    <w:rsid w:val="001B7FA0"/>
    <w:rsid w:val="001C55DB"/>
    <w:rsid w:val="001D29B6"/>
    <w:rsid w:val="001D4514"/>
    <w:rsid w:val="00200D48"/>
    <w:rsid w:val="00201594"/>
    <w:rsid w:val="002245CF"/>
    <w:rsid w:val="0024782C"/>
    <w:rsid w:val="002505A1"/>
    <w:rsid w:val="00253F45"/>
    <w:rsid w:val="00272DF6"/>
    <w:rsid w:val="0028003C"/>
    <w:rsid w:val="002B420B"/>
    <w:rsid w:val="002F231D"/>
    <w:rsid w:val="002F2BC9"/>
    <w:rsid w:val="002F4320"/>
    <w:rsid w:val="00304231"/>
    <w:rsid w:val="00333E0F"/>
    <w:rsid w:val="003539EF"/>
    <w:rsid w:val="0037007F"/>
    <w:rsid w:val="003730CE"/>
    <w:rsid w:val="003824F9"/>
    <w:rsid w:val="00382D2D"/>
    <w:rsid w:val="0038323A"/>
    <w:rsid w:val="00395269"/>
    <w:rsid w:val="003A6AF7"/>
    <w:rsid w:val="003C2EF2"/>
    <w:rsid w:val="003C692E"/>
    <w:rsid w:val="003F239F"/>
    <w:rsid w:val="00425F9F"/>
    <w:rsid w:val="00426E86"/>
    <w:rsid w:val="0044543D"/>
    <w:rsid w:val="004557D1"/>
    <w:rsid w:val="0045759F"/>
    <w:rsid w:val="00465584"/>
    <w:rsid w:val="004767DF"/>
    <w:rsid w:val="00491A67"/>
    <w:rsid w:val="004E21A3"/>
    <w:rsid w:val="004E7DEE"/>
    <w:rsid w:val="0050369F"/>
    <w:rsid w:val="00512707"/>
    <w:rsid w:val="00515954"/>
    <w:rsid w:val="00524A3A"/>
    <w:rsid w:val="00534CD5"/>
    <w:rsid w:val="00551B05"/>
    <w:rsid w:val="00553729"/>
    <w:rsid w:val="00567220"/>
    <w:rsid w:val="0057611C"/>
    <w:rsid w:val="0059586E"/>
    <w:rsid w:val="00597129"/>
    <w:rsid w:val="005C2F08"/>
    <w:rsid w:val="005C469C"/>
    <w:rsid w:val="006112D8"/>
    <w:rsid w:val="00657BC2"/>
    <w:rsid w:val="00665F10"/>
    <w:rsid w:val="00682CB0"/>
    <w:rsid w:val="006B00CE"/>
    <w:rsid w:val="006B1A95"/>
    <w:rsid w:val="006D185C"/>
    <w:rsid w:val="006D709A"/>
    <w:rsid w:val="0070133E"/>
    <w:rsid w:val="007040DF"/>
    <w:rsid w:val="00750236"/>
    <w:rsid w:val="00751979"/>
    <w:rsid w:val="007D12E5"/>
    <w:rsid w:val="007F5F02"/>
    <w:rsid w:val="00804E22"/>
    <w:rsid w:val="0082561F"/>
    <w:rsid w:val="00842AFB"/>
    <w:rsid w:val="00853288"/>
    <w:rsid w:val="00871AA5"/>
    <w:rsid w:val="008A2B46"/>
    <w:rsid w:val="00915B46"/>
    <w:rsid w:val="009200BF"/>
    <w:rsid w:val="009218F5"/>
    <w:rsid w:val="00934D4E"/>
    <w:rsid w:val="009411F1"/>
    <w:rsid w:val="00956C98"/>
    <w:rsid w:val="00962DFC"/>
    <w:rsid w:val="0097357A"/>
    <w:rsid w:val="009A41CA"/>
    <w:rsid w:val="009F3074"/>
    <w:rsid w:val="00A10862"/>
    <w:rsid w:val="00A1710A"/>
    <w:rsid w:val="00A35A50"/>
    <w:rsid w:val="00A7246C"/>
    <w:rsid w:val="00A7601C"/>
    <w:rsid w:val="00AB7AF7"/>
    <w:rsid w:val="00B24E72"/>
    <w:rsid w:val="00B2697E"/>
    <w:rsid w:val="00B401A4"/>
    <w:rsid w:val="00B64C18"/>
    <w:rsid w:val="00B65B85"/>
    <w:rsid w:val="00B72393"/>
    <w:rsid w:val="00B96146"/>
    <w:rsid w:val="00BB16CA"/>
    <w:rsid w:val="00BB3C9F"/>
    <w:rsid w:val="00BC1C0F"/>
    <w:rsid w:val="00BE4FA4"/>
    <w:rsid w:val="00BF7269"/>
    <w:rsid w:val="00BF7B07"/>
    <w:rsid w:val="00C3557A"/>
    <w:rsid w:val="00C53772"/>
    <w:rsid w:val="00C645E1"/>
    <w:rsid w:val="00C93F83"/>
    <w:rsid w:val="00CC2260"/>
    <w:rsid w:val="00CE5760"/>
    <w:rsid w:val="00D14F9B"/>
    <w:rsid w:val="00D1524F"/>
    <w:rsid w:val="00D42C98"/>
    <w:rsid w:val="00D74081"/>
    <w:rsid w:val="00D80555"/>
    <w:rsid w:val="00DA00B2"/>
    <w:rsid w:val="00DA3B52"/>
    <w:rsid w:val="00DC356C"/>
    <w:rsid w:val="00DC6E24"/>
    <w:rsid w:val="00DE4632"/>
    <w:rsid w:val="00DE6E39"/>
    <w:rsid w:val="00E01AEB"/>
    <w:rsid w:val="00E034B3"/>
    <w:rsid w:val="00E35477"/>
    <w:rsid w:val="00E36770"/>
    <w:rsid w:val="00E70179"/>
    <w:rsid w:val="00E72EAB"/>
    <w:rsid w:val="00E7655F"/>
    <w:rsid w:val="00E81EF2"/>
    <w:rsid w:val="00E84876"/>
    <w:rsid w:val="00E914F7"/>
    <w:rsid w:val="00EA365C"/>
    <w:rsid w:val="00EA4EF1"/>
    <w:rsid w:val="00EA7B6B"/>
    <w:rsid w:val="00EF16A6"/>
    <w:rsid w:val="00F007FC"/>
    <w:rsid w:val="00F06C41"/>
    <w:rsid w:val="00F16515"/>
    <w:rsid w:val="00F97665"/>
    <w:rsid w:val="00FB043E"/>
    <w:rsid w:val="00FC31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7003"/>
  <w15:chartTrackingRefBased/>
  <w15:docId w15:val="{F57F2D52-8F43-4AE7-B06F-752F2543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81E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35B6"/>
    <w:pPr>
      <w:spacing w:line="254" w:lineRule="auto"/>
      <w:ind w:left="720"/>
      <w:contextualSpacing/>
    </w:pPr>
    <w:rPr>
      <w:kern w:val="2"/>
      <w14:ligatures w14:val="standardContextual"/>
    </w:rPr>
  </w:style>
  <w:style w:type="character" w:customStyle="1" w:styleId="Rubrik1Char">
    <w:name w:val="Rubrik 1 Char"/>
    <w:basedOn w:val="Standardstycketeckensnitt"/>
    <w:link w:val="Rubrik1"/>
    <w:uiPriority w:val="9"/>
    <w:rsid w:val="00E81EF2"/>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E81EF2"/>
    <w:rPr>
      <w:color w:val="0000FF"/>
      <w:u w:val="single"/>
    </w:rPr>
  </w:style>
  <w:style w:type="paragraph" w:styleId="Normalwebb">
    <w:name w:val="Normal (Web)"/>
    <w:basedOn w:val="Normal"/>
    <w:uiPriority w:val="99"/>
    <w:semiHidden/>
    <w:unhideWhenUsed/>
    <w:rsid w:val="0016794F"/>
    <w:rPr>
      <w:rFonts w:ascii="Times New Roman" w:hAnsi="Times New Roman" w:cs="Times New Roman"/>
      <w:sz w:val="24"/>
      <w:szCs w:val="24"/>
    </w:rPr>
  </w:style>
  <w:style w:type="character" w:styleId="Olstomnmnande">
    <w:name w:val="Unresolved Mention"/>
    <w:basedOn w:val="Standardstycketeckensnitt"/>
    <w:uiPriority w:val="99"/>
    <w:semiHidden/>
    <w:unhideWhenUsed/>
    <w:rsid w:val="0070133E"/>
    <w:rPr>
      <w:color w:val="605E5C"/>
      <w:shd w:val="clear" w:color="auto" w:fill="E1DFDD"/>
    </w:rPr>
  </w:style>
  <w:style w:type="character" w:styleId="AnvndHyperlnk">
    <w:name w:val="FollowedHyperlink"/>
    <w:basedOn w:val="Standardstycketeckensnitt"/>
    <w:uiPriority w:val="99"/>
    <w:semiHidden/>
    <w:unhideWhenUsed/>
    <w:rsid w:val="00701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06">
      <w:bodyDiv w:val="1"/>
      <w:marLeft w:val="0"/>
      <w:marRight w:val="0"/>
      <w:marTop w:val="0"/>
      <w:marBottom w:val="0"/>
      <w:divBdr>
        <w:top w:val="none" w:sz="0" w:space="0" w:color="auto"/>
        <w:left w:val="none" w:sz="0" w:space="0" w:color="auto"/>
        <w:bottom w:val="none" w:sz="0" w:space="0" w:color="auto"/>
        <w:right w:val="none" w:sz="0" w:space="0" w:color="auto"/>
      </w:divBdr>
    </w:div>
    <w:div w:id="522398456">
      <w:bodyDiv w:val="1"/>
      <w:marLeft w:val="0"/>
      <w:marRight w:val="0"/>
      <w:marTop w:val="0"/>
      <w:marBottom w:val="0"/>
      <w:divBdr>
        <w:top w:val="none" w:sz="0" w:space="0" w:color="auto"/>
        <w:left w:val="none" w:sz="0" w:space="0" w:color="auto"/>
        <w:bottom w:val="none" w:sz="0" w:space="0" w:color="auto"/>
        <w:right w:val="none" w:sz="0" w:space="0" w:color="auto"/>
      </w:divBdr>
    </w:div>
    <w:div w:id="721707511">
      <w:bodyDiv w:val="1"/>
      <w:marLeft w:val="0"/>
      <w:marRight w:val="0"/>
      <w:marTop w:val="0"/>
      <w:marBottom w:val="0"/>
      <w:divBdr>
        <w:top w:val="none" w:sz="0" w:space="0" w:color="auto"/>
        <w:left w:val="none" w:sz="0" w:space="0" w:color="auto"/>
        <w:bottom w:val="none" w:sz="0" w:space="0" w:color="auto"/>
        <w:right w:val="none" w:sz="0" w:space="0" w:color="auto"/>
      </w:divBdr>
    </w:div>
    <w:div w:id="1063719799">
      <w:bodyDiv w:val="1"/>
      <w:marLeft w:val="0"/>
      <w:marRight w:val="0"/>
      <w:marTop w:val="0"/>
      <w:marBottom w:val="0"/>
      <w:divBdr>
        <w:top w:val="none" w:sz="0" w:space="0" w:color="auto"/>
        <w:left w:val="none" w:sz="0" w:space="0" w:color="auto"/>
        <w:bottom w:val="none" w:sz="0" w:space="0" w:color="auto"/>
        <w:right w:val="none" w:sz="0" w:space="0" w:color="auto"/>
      </w:divBdr>
    </w:div>
    <w:div w:id="1193302494">
      <w:bodyDiv w:val="1"/>
      <w:marLeft w:val="0"/>
      <w:marRight w:val="0"/>
      <w:marTop w:val="0"/>
      <w:marBottom w:val="0"/>
      <w:divBdr>
        <w:top w:val="none" w:sz="0" w:space="0" w:color="auto"/>
        <w:left w:val="none" w:sz="0" w:space="0" w:color="auto"/>
        <w:bottom w:val="none" w:sz="0" w:space="0" w:color="auto"/>
        <w:right w:val="none" w:sz="0" w:space="0" w:color="auto"/>
      </w:divBdr>
    </w:div>
    <w:div w:id="1438871378">
      <w:bodyDiv w:val="1"/>
      <w:marLeft w:val="0"/>
      <w:marRight w:val="0"/>
      <w:marTop w:val="0"/>
      <w:marBottom w:val="0"/>
      <w:divBdr>
        <w:top w:val="none" w:sz="0" w:space="0" w:color="auto"/>
        <w:left w:val="none" w:sz="0" w:space="0" w:color="auto"/>
        <w:bottom w:val="none" w:sz="0" w:space="0" w:color="auto"/>
        <w:right w:val="none" w:sz="0" w:space="0" w:color="auto"/>
      </w:divBdr>
    </w:div>
    <w:div w:id="20616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rsakringskassan.se/download/18.7fc616c01814e179a9f6e1/1687421899149/merkostnadsersattning-vagledning-2018-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2</Pages>
  <Words>873</Words>
  <Characters>4627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Erixon</dc:creator>
  <cp:keywords/>
  <dc:description/>
  <cp:lastModifiedBy>Elsa Erixon</cp:lastModifiedBy>
  <cp:revision>122</cp:revision>
  <dcterms:created xsi:type="dcterms:W3CDTF">2023-11-05T15:57:00Z</dcterms:created>
  <dcterms:modified xsi:type="dcterms:W3CDTF">2023-11-09T13:41:00Z</dcterms:modified>
</cp:coreProperties>
</file>