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22"/>
      </w:tblGrid>
      <w:tr w:rsidR="00363A1E" w:rsidTr="00363A1E">
        <w:tc>
          <w:tcPr>
            <w:tcW w:w="4606" w:type="dxa"/>
            <w:hideMark/>
          </w:tcPr>
          <w:p w:rsidR="00363A1E" w:rsidRDefault="00363A1E">
            <w:r>
              <w:rPr>
                <w:noProof/>
                <w:lang w:eastAsia="sv-SE"/>
              </w:rPr>
              <w:drawing>
                <wp:inline distT="0" distB="0" distL="0" distR="0">
                  <wp:extent cx="1593850" cy="186055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850" cy="1860550"/>
                          </a:xfrm>
                          <a:prstGeom prst="rect">
                            <a:avLst/>
                          </a:prstGeom>
                          <a:noFill/>
                          <a:ln>
                            <a:noFill/>
                          </a:ln>
                        </pic:spPr>
                      </pic:pic>
                    </a:graphicData>
                  </a:graphic>
                </wp:inline>
              </w:drawing>
            </w:r>
          </w:p>
        </w:tc>
        <w:tc>
          <w:tcPr>
            <w:tcW w:w="4606" w:type="dxa"/>
          </w:tcPr>
          <w:p w:rsidR="00363A1E" w:rsidRDefault="00862332">
            <w:pPr>
              <w:rPr>
                <w:sz w:val="28"/>
                <w:szCs w:val="28"/>
              </w:rPr>
            </w:pPr>
            <w:r>
              <w:rPr>
                <w:sz w:val="28"/>
                <w:szCs w:val="28"/>
              </w:rPr>
              <w:t>2019-06-09</w:t>
            </w:r>
            <w:bookmarkStart w:id="0" w:name="_GoBack"/>
            <w:bookmarkEnd w:id="0"/>
          </w:p>
          <w:p w:rsidR="00363A1E" w:rsidRDefault="00363A1E">
            <w:pPr>
              <w:rPr>
                <w:sz w:val="28"/>
                <w:szCs w:val="28"/>
              </w:rPr>
            </w:pPr>
            <w:r>
              <w:rPr>
                <w:sz w:val="28"/>
                <w:szCs w:val="28"/>
              </w:rPr>
              <w:t>REMISSVAR</w:t>
            </w:r>
          </w:p>
          <w:p w:rsidR="00363A1E" w:rsidRDefault="00363A1E">
            <w:pPr>
              <w:rPr>
                <w:sz w:val="28"/>
                <w:szCs w:val="28"/>
              </w:rPr>
            </w:pPr>
          </w:p>
          <w:p w:rsidR="00363A1E" w:rsidRDefault="00363A1E">
            <w:pPr>
              <w:rPr>
                <w:sz w:val="28"/>
                <w:szCs w:val="28"/>
              </w:rPr>
            </w:pPr>
          </w:p>
          <w:p w:rsidR="00363A1E" w:rsidRDefault="00363A1E">
            <w:pPr>
              <w:rPr>
                <w:sz w:val="28"/>
                <w:szCs w:val="28"/>
              </w:rPr>
            </w:pPr>
            <w:r>
              <w:rPr>
                <w:sz w:val="28"/>
                <w:szCs w:val="28"/>
              </w:rPr>
              <w:t>Till Socialstyrelsen</w:t>
            </w:r>
          </w:p>
          <w:p w:rsidR="00363A1E" w:rsidRDefault="00363A1E">
            <w:pPr>
              <w:rPr>
                <w:sz w:val="28"/>
                <w:szCs w:val="28"/>
              </w:rPr>
            </w:pPr>
          </w:p>
          <w:p w:rsidR="00363A1E" w:rsidRDefault="00363A1E">
            <w:pPr>
              <w:rPr>
                <w:sz w:val="28"/>
                <w:szCs w:val="28"/>
              </w:rPr>
            </w:pPr>
            <w:r>
              <w:rPr>
                <w:sz w:val="28"/>
                <w:szCs w:val="28"/>
              </w:rPr>
              <w:t>Gem 2019/0114</w:t>
            </w:r>
          </w:p>
          <w:p w:rsidR="00363A1E" w:rsidRDefault="00363A1E">
            <w:pPr>
              <w:rPr>
                <w:sz w:val="28"/>
                <w:szCs w:val="28"/>
                <w:highlight w:val="yellow"/>
              </w:rPr>
            </w:pPr>
          </w:p>
        </w:tc>
      </w:tr>
    </w:tbl>
    <w:p w:rsidR="00363A1E" w:rsidRDefault="00363A1E" w:rsidP="00363A1E">
      <w:pPr>
        <w:spacing w:after="0"/>
      </w:pPr>
    </w:p>
    <w:p w:rsidR="00363A1E" w:rsidRDefault="00363A1E" w:rsidP="00363A1E">
      <w:pPr>
        <w:spacing w:after="0"/>
      </w:pPr>
    </w:p>
    <w:p w:rsidR="00363A1E" w:rsidRDefault="00363A1E" w:rsidP="00363A1E">
      <w:pPr>
        <w:spacing w:after="0"/>
        <w:rPr>
          <w:b/>
          <w:sz w:val="28"/>
          <w:szCs w:val="28"/>
        </w:rPr>
      </w:pPr>
      <w:r>
        <w:rPr>
          <w:rFonts w:asciiTheme="majorHAnsi" w:hAnsiTheme="majorHAnsi"/>
          <w:b/>
          <w:sz w:val="28"/>
          <w:szCs w:val="28"/>
        </w:rPr>
        <w:t xml:space="preserve">Socialstyrelsens föreskrifter och allmänna råd om hälsoundersökningar av barn och unga i samhällsvård </w:t>
      </w:r>
    </w:p>
    <w:p w:rsidR="00363A1E" w:rsidRDefault="00363A1E" w:rsidP="00363A1E">
      <w:pPr>
        <w:spacing w:after="0"/>
        <w:rPr>
          <w:rFonts w:asciiTheme="majorHAnsi" w:hAnsiTheme="majorHAnsi"/>
          <w:b/>
          <w:sz w:val="28"/>
          <w:szCs w:val="28"/>
        </w:rPr>
      </w:pPr>
    </w:p>
    <w:p w:rsidR="00447827" w:rsidRDefault="00363A1E" w:rsidP="00447827">
      <w:pPr>
        <w:spacing w:line="240" w:lineRule="auto"/>
        <w:rPr>
          <w:rFonts w:ascii="Garamond" w:hAnsi="Garamond"/>
          <w:sz w:val="24"/>
          <w:szCs w:val="24"/>
        </w:rPr>
      </w:pPr>
      <w:r w:rsidRPr="00363A1E">
        <w:rPr>
          <w:rFonts w:ascii="Garamond" w:hAnsi="Garamond"/>
          <w:sz w:val="24"/>
          <w:szCs w:val="24"/>
        </w:rPr>
        <w:t xml:space="preserve">Svenska skolläkarföreningen (SSLF), som grundades 1921, företräder läkare verksamma inom skolhälsovården (elevhälsans medicinska insats). Föreningen ingår i såväl Sveriges läkarförbund som i </w:t>
      </w:r>
      <w:proofErr w:type="gramStart"/>
      <w:r w:rsidRPr="00363A1E">
        <w:rPr>
          <w:rFonts w:ascii="Garamond" w:hAnsi="Garamond"/>
          <w:sz w:val="24"/>
          <w:szCs w:val="24"/>
        </w:rPr>
        <w:t>Svenska</w:t>
      </w:r>
      <w:proofErr w:type="gramEnd"/>
      <w:r w:rsidRPr="00363A1E">
        <w:rPr>
          <w:rFonts w:ascii="Garamond" w:hAnsi="Garamond"/>
          <w:sz w:val="24"/>
          <w:szCs w:val="24"/>
        </w:rPr>
        <w:t xml:space="preserve"> läkarsällskapet. </w:t>
      </w:r>
    </w:p>
    <w:p w:rsidR="00363A1E" w:rsidRPr="00447827" w:rsidRDefault="00363A1E" w:rsidP="00447827">
      <w:pPr>
        <w:spacing w:line="240" w:lineRule="auto"/>
        <w:rPr>
          <w:rFonts w:ascii="Garamond" w:hAnsi="Garamond"/>
          <w:b/>
          <w:sz w:val="24"/>
          <w:szCs w:val="24"/>
        </w:rPr>
      </w:pPr>
      <w:r w:rsidRPr="00447827">
        <w:rPr>
          <w:rFonts w:ascii="Garamond" w:hAnsi="Garamond"/>
          <w:b/>
          <w:sz w:val="24"/>
          <w:szCs w:val="24"/>
        </w:rPr>
        <w:t xml:space="preserve">Synpunkter från </w:t>
      </w:r>
      <w:proofErr w:type="gramStart"/>
      <w:r w:rsidR="00447827" w:rsidRPr="00447827">
        <w:rPr>
          <w:rFonts w:ascii="Garamond" w:hAnsi="Garamond"/>
          <w:b/>
          <w:sz w:val="24"/>
          <w:szCs w:val="24"/>
        </w:rPr>
        <w:t>Svenska</w:t>
      </w:r>
      <w:proofErr w:type="gramEnd"/>
      <w:r w:rsidR="00447827" w:rsidRPr="00447827">
        <w:rPr>
          <w:rFonts w:ascii="Garamond" w:hAnsi="Garamond"/>
          <w:b/>
          <w:sz w:val="24"/>
          <w:szCs w:val="24"/>
        </w:rPr>
        <w:t xml:space="preserve"> skolläkarföreningen SSLF</w:t>
      </w:r>
      <w:r w:rsidRPr="00447827">
        <w:rPr>
          <w:rFonts w:ascii="Garamond" w:hAnsi="Garamond"/>
          <w:b/>
          <w:sz w:val="24"/>
          <w:szCs w:val="24"/>
        </w:rPr>
        <w:t>- Remissvar Gem 2019/0114</w:t>
      </w:r>
    </w:p>
    <w:p w:rsidR="00363A1E" w:rsidRDefault="00363A1E" w:rsidP="00363A1E">
      <w:pPr>
        <w:rPr>
          <w:rFonts w:ascii="Garamond" w:hAnsi="Garamond"/>
          <w:sz w:val="24"/>
          <w:szCs w:val="24"/>
        </w:rPr>
      </w:pPr>
      <w:r w:rsidRPr="00363A1E">
        <w:rPr>
          <w:rFonts w:ascii="Garamond" w:hAnsi="Garamond"/>
          <w:sz w:val="24"/>
          <w:szCs w:val="24"/>
        </w:rPr>
        <w:t xml:space="preserve">SSLF ställer sig positiv till Socialstyrelsens föreskrifter och allmänna råd om </w:t>
      </w:r>
      <w:r w:rsidR="00280341">
        <w:rPr>
          <w:rFonts w:ascii="Garamond" w:hAnsi="Garamond"/>
          <w:sz w:val="24"/>
          <w:szCs w:val="24"/>
        </w:rPr>
        <w:t xml:space="preserve">av landstingen organiserade </w:t>
      </w:r>
      <w:r w:rsidRPr="00363A1E">
        <w:rPr>
          <w:rFonts w:ascii="Garamond" w:hAnsi="Garamond"/>
          <w:sz w:val="24"/>
          <w:szCs w:val="24"/>
        </w:rPr>
        <w:t xml:space="preserve">hälsoundersökningar av barn och unga som vårdas utanför det egna hemmet. </w:t>
      </w:r>
    </w:p>
    <w:p w:rsidR="00280341" w:rsidRPr="00363A1E" w:rsidRDefault="00280341" w:rsidP="00280341">
      <w:pPr>
        <w:rPr>
          <w:rFonts w:ascii="Garamond" w:hAnsi="Garamond"/>
          <w:sz w:val="24"/>
          <w:szCs w:val="24"/>
        </w:rPr>
      </w:pPr>
      <w:r w:rsidRPr="00363A1E">
        <w:rPr>
          <w:rFonts w:ascii="Garamond" w:hAnsi="Garamond"/>
          <w:sz w:val="24"/>
          <w:szCs w:val="24"/>
        </w:rPr>
        <w:t>Mot bakgrund av innehåll</w:t>
      </w:r>
      <w:r>
        <w:rPr>
          <w:rFonts w:ascii="Garamond" w:hAnsi="Garamond"/>
          <w:sz w:val="24"/>
          <w:szCs w:val="24"/>
        </w:rPr>
        <w:t>et</w:t>
      </w:r>
      <w:r w:rsidRPr="00363A1E">
        <w:rPr>
          <w:rFonts w:ascii="Garamond" w:hAnsi="Garamond"/>
          <w:sz w:val="24"/>
          <w:szCs w:val="24"/>
        </w:rPr>
        <w:t xml:space="preserve"> i konsekvensutredningen, att en stor andel av de placerade barnen har uteblivit från normala hälsokontroller inom hälso- och sjukvården, att de har lägre vaccinationstäckning, att de genomgått färre syn- och hörselkontroller på barnavårdscentralerna och sist, men inte minst, att en stor andel av denna grupp barn och unga har neuropsykiatriska diagnoser vilket riskerar att hindra dessa elever att nå utbildn</w:t>
      </w:r>
      <w:r>
        <w:rPr>
          <w:rFonts w:ascii="Garamond" w:hAnsi="Garamond"/>
          <w:sz w:val="24"/>
          <w:szCs w:val="24"/>
        </w:rPr>
        <w:t xml:space="preserve">ingens mål föreslår SSLF </w:t>
      </w:r>
      <w:r w:rsidRPr="00363A1E">
        <w:rPr>
          <w:rFonts w:ascii="Garamond" w:hAnsi="Garamond"/>
          <w:sz w:val="24"/>
          <w:szCs w:val="24"/>
        </w:rPr>
        <w:t>en komplettering av förslaget om hälsoundersökning av de placerade barn</w:t>
      </w:r>
      <w:r w:rsidR="00E23338">
        <w:rPr>
          <w:rFonts w:ascii="Garamond" w:hAnsi="Garamond"/>
          <w:sz w:val="24"/>
          <w:szCs w:val="24"/>
        </w:rPr>
        <w:t xml:space="preserve">en </w:t>
      </w:r>
      <w:r w:rsidRPr="00363A1E">
        <w:rPr>
          <w:rFonts w:ascii="Garamond" w:hAnsi="Garamond"/>
          <w:sz w:val="24"/>
          <w:szCs w:val="24"/>
        </w:rPr>
        <w:t xml:space="preserve">genom att förslaget även innefattar att elevhälsans medicinska insatser/skolhälsovården </w:t>
      </w:r>
      <w:r>
        <w:rPr>
          <w:rFonts w:ascii="Garamond" w:hAnsi="Garamond"/>
          <w:sz w:val="24"/>
          <w:szCs w:val="24"/>
        </w:rPr>
        <w:t xml:space="preserve">skall </w:t>
      </w:r>
      <w:r w:rsidRPr="00363A1E">
        <w:rPr>
          <w:rFonts w:ascii="Garamond" w:hAnsi="Garamond"/>
          <w:sz w:val="24"/>
          <w:szCs w:val="24"/>
        </w:rPr>
        <w:t>delges dokumentation och resultat från dessa hälsoundersökningar.</w:t>
      </w:r>
    </w:p>
    <w:p w:rsidR="00280341" w:rsidRPr="00363A1E" w:rsidRDefault="00280341" w:rsidP="00280341">
      <w:pPr>
        <w:rPr>
          <w:rFonts w:ascii="Garamond" w:hAnsi="Garamond"/>
          <w:sz w:val="24"/>
          <w:szCs w:val="24"/>
        </w:rPr>
      </w:pPr>
      <w:r w:rsidRPr="00363A1E">
        <w:rPr>
          <w:rFonts w:ascii="Garamond" w:hAnsi="Garamond"/>
          <w:sz w:val="24"/>
          <w:szCs w:val="24"/>
        </w:rPr>
        <w:t>Detta kan ses som en viktig samverkan mellan hälso-och sjukvården och elevhälsan.</w:t>
      </w:r>
    </w:p>
    <w:p w:rsidR="00280341" w:rsidRDefault="00280341" w:rsidP="00363A1E">
      <w:pPr>
        <w:rPr>
          <w:rFonts w:ascii="Garamond" w:hAnsi="Garamond"/>
          <w:sz w:val="24"/>
          <w:szCs w:val="24"/>
        </w:rPr>
      </w:pPr>
      <w:r w:rsidRPr="00363A1E">
        <w:rPr>
          <w:rFonts w:ascii="Garamond" w:hAnsi="Garamond"/>
          <w:sz w:val="24"/>
          <w:szCs w:val="24"/>
        </w:rPr>
        <w:t xml:space="preserve">Genom denna samverkan mellan hälso- och sjukvården och elevhälsan </w:t>
      </w:r>
      <w:r w:rsidR="00D477D2">
        <w:rPr>
          <w:rFonts w:ascii="Garamond" w:hAnsi="Garamond"/>
          <w:sz w:val="24"/>
          <w:szCs w:val="24"/>
        </w:rPr>
        <w:t>får de placerade</w:t>
      </w:r>
      <w:r w:rsidR="00FF26FF">
        <w:rPr>
          <w:rFonts w:ascii="Garamond" w:hAnsi="Garamond"/>
          <w:sz w:val="24"/>
          <w:szCs w:val="24"/>
        </w:rPr>
        <w:t xml:space="preserve"> barnen </w:t>
      </w:r>
      <w:r w:rsidR="00D477D2">
        <w:rPr>
          <w:rFonts w:ascii="Garamond" w:hAnsi="Garamond"/>
          <w:sz w:val="24"/>
          <w:szCs w:val="24"/>
        </w:rPr>
        <w:t>möjlighet till att i ett tidigare skede få sina eventuella behov av anpassningar och särskilt stöd i skolan tillgodosedda. K</w:t>
      </w:r>
      <w:r w:rsidRPr="00363A1E">
        <w:rPr>
          <w:rFonts w:ascii="Garamond" w:hAnsi="Garamond"/>
          <w:sz w:val="24"/>
          <w:szCs w:val="24"/>
        </w:rPr>
        <w:t>omplett</w:t>
      </w:r>
      <w:r w:rsidR="001F1B7A">
        <w:rPr>
          <w:rFonts w:ascii="Garamond" w:hAnsi="Garamond"/>
          <w:sz w:val="24"/>
          <w:szCs w:val="24"/>
        </w:rPr>
        <w:t>erande vaccinationer samt hälso</w:t>
      </w:r>
      <w:r w:rsidRPr="00363A1E">
        <w:rPr>
          <w:rFonts w:ascii="Garamond" w:hAnsi="Garamond"/>
          <w:sz w:val="24"/>
          <w:szCs w:val="24"/>
        </w:rPr>
        <w:t>uppföljning</w:t>
      </w:r>
      <w:r w:rsidR="001F1B7A">
        <w:rPr>
          <w:rFonts w:ascii="Garamond" w:hAnsi="Garamond"/>
          <w:sz w:val="24"/>
          <w:szCs w:val="24"/>
        </w:rPr>
        <w:t>ar</w:t>
      </w:r>
      <w:r w:rsidRPr="00363A1E">
        <w:rPr>
          <w:rFonts w:ascii="Garamond" w:hAnsi="Garamond"/>
          <w:sz w:val="24"/>
          <w:szCs w:val="24"/>
        </w:rPr>
        <w:t xml:space="preserve"> som faller inom elevhälsans medicinska insats/skolhälsovården</w:t>
      </w:r>
      <w:r w:rsidR="00D477D2">
        <w:rPr>
          <w:rFonts w:ascii="Garamond" w:hAnsi="Garamond"/>
          <w:sz w:val="24"/>
          <w:szCs w:val="24"/>
        </w:rPr>
        <w:t xml:space="preserve"> kan då också</w:t>
      </w:r>
      <w:r w:rsidRPr="00363A1E">
        <w:rPr>
          <w:rFonts w:ascii="Garamond" w:hAnsi="Garamond"/>
          <w:sz w:val="24"/>
          <w:szCs w:val="24"/>
        </w:rPr>
        <w:t xml:space="preserve"> erbjudas i korrekt tid samt på ett mer patientsäkert sätt.</w:t>
      </w:r>
    </w:p>
    <w:p w:rsidR="00280341" w:rsidRPr="00280341" w:rsidRDefault="00280341" w:rsidP="00363A1E">
      <w:pPr>
        <w:rPr>
          <w:rFonts w:ascii="Garamond" w:hAnsi="Garamond"/>
          <w:b/>
          <w:sz w:val="24"/>
          <w:szCs w:val="24"/>
        </w:rPr>
      </w:pPr>
      <w:r w:rsidRPr="00280341">
        <w:rPr>
          <w:rFonts w:ascii="Garamond" w:hAnsi="Garamond"/>
          <w:b/>
          <w:sz w:val="24"/>
          <w:szCs w:val="24"/>
        </w:rPr>
        <w:t>Bakgrund:</w:t>
      </w:r>
    </w:p>
    <w:p w:rsidR="00363A1E" w:rsidRPr="00363A1E" w:rsidRDefault="00363A1E" w:rsidP="00363A1E">
      <w:pPr>
        <w:rPr>
          <w:rFonts w:ascii="Garamond" w:hAnsi="Garamond"/>
          <w:sz w:val="24"/>
          <w:szCs w:val="24"/>
        </w:rPr>
      </w:pPr>
      <w:r w:rsidRPr="00363A1E">
        <w:rPr>
          <w:rFonts w:ascii="Garamond" w:hAnsi="Garamond"/>
          <w:sz w:val="24"/>
          <w:szCs w:val="24"/>
        </w:rPr>
        <w:t>Elevhälsans medicinska del/skolhälsovården har skyldighet att erbjuda varje elev i grundskolan, grundsärskolan och specialskolan minst tre hälsobesök. Varje elev i sameskolan ska erbjudas minst två hälsobesök och varje elev i gymnasieskolan och gymnasiesärskolan ska erbjudas minst ett hälsobesök. (Skollagen 2 kap 27§)</w:t>
      </w:r>
    </w:p>
    <w:p w:rsidR="00363A1E" w:rsidRPr="00363A1E" w:rsidRDefault="00363A1E" w:rsidP="00363A1E">
      <w:pPr>
        <w:rPr>
          <w:rFonts w:ascii="Garamond" w:hAnsi="Garamond"/>
          <w:sz w:val="24"/>
          <w:szCs w:val="24"/>
        </w:rPr>
      </w:pPr>
      <w:r w:rsidRPr="00363A1E">
        <w:rPr>
          <w:rFonts w:ascii="Garamond" w:hAnsi="Garamond"/>
          <w:sz w:val="24"/>
          <w:szCs w:val="24"/>
        </w:rPr>
        <w:lastRenderedPageBreak/>
        <w:t>I hälsobesöken ingår att bedöma elevens allmänna hälsotillstånd, tillväxt, utveckling och inlärning. Målet är att tidigt upptäcka elever i behov av stöd eller insatser i något avseende. (Vägledning för elevhälsan från Socialstyrelsen och Skolverket)</w:t>
      </w:r>
    </w:p>
    <w:p w:rsidR="00363A1E" w:rsidRPr="00363A1E" w:rsidRDefault="00363A1E" w:rsidP="00363A1E">
      <w:pPr>
        <w:rPr>
          <w:rFonts w:ascii="Garamond" w:hAnsi="Garamond"/>
          <w:sz w:val="24"/>
          <w:szCs w:val="24"/>
        </w:rPr>
      </w:pPr>
      <w:r w:rsidRPr="00363A1E">
        <w:rPr>
          <w:rFonts w:ascii="Garamond" w:hAnsi="Garamond"/>
          <w:sz w:val="24"/>
          <w:szCs w:val="24"/>
        </w:rPr>
        <w:t>Dessutom ska elevhälsan stödja elevernas utveckling mot utbildningens mål. (Skollagen 2010:800 2 kap 25§)</w:t>
      </w:r>
    </w:p>
    <w:p w:rsidR="00363A1E" w:rsidRPr="00363A1E" w:rsidRDefault="00363A1E" w:rsidP="00363A1E">
      <w:pPr>
        <w:rPr>
          <w:rFonts w:ascii="Garamond" w:hAnsi="Garamond"/>
          <w:sz w:val="24"/>
          <w:szCs w:val="24"/>
        </w:rPr>
      </w:pPr>
      <w:r w:rsidRPr="00363A1E">
        <w:rPr>
          <w:rFonts w:ascii="Garamond" w:hAnsi="Garamond"/>
          <w:sz w:val="24"/>
          <w:szCs w:val="24"/>
        </w:rPr>
        <w:t>Utbildningen ska ta hänsyn till barns och elevers olika behov och sträva efter att uppväga skillnader i barnens och elevernas förutsättningar att tillgodogöra sig utbildningen. (Skollagen 1 kap 3§)</w:t>
      </w:r>
    </w:p>
    <w:p w:rsidR="00363A1E" w:rsidRPr="00363A1E" w:rsidRDefault="00363A1E" w:rsidP="00363A1E">
      <w:pPr>
        <w:rPr>
          <w:rFonts w:ascii="Garamond" w:hAnsi="Garamond"/>
          <w:sz w:val="24"/>
          <w:szCs w:val="24"/>
        </w:rPr>
      </w:pPr>
      <w:r w:rsidRPr="00363A1E">
        <w:rPr>
          <w:rFonts w:ascii="Garamond" w:hAnsi="Garamond"/>
          <w:sz w:val="24"/>
          <w:szCs w:val="24"/>
        </w:rPr>
        <w:t>I all utbildning ska barnets bästa vara utgångspunkt. (Skollagen1 kap 10§)</w:t>
      </w:r>
    </w:p>
    <w:p w:rsidR="00363A1E" w:rsidRPr="00363A1E" w:rsidRDefault="00363A1E" w:rsidP="00363A1E">
      <w:pPr>
        <w:rPr>
          <w:rFonts w:ascii="Garamond" w:hAnsi="Garamond"/>
          <w:sz w:val="24"/>
          <w:szCs w:val="24"/>
        </w:rPr>
      </w:pPr>
      <w:r w:rsidRPr="00363A1E">
        <w:rPr>
          <w:rFonts w:ascii="Garamond" w:hAnsi="Garamond"/>
          <w:sz w:val="24"/>
          <w:szCs w:val="24"/>
        </w:rPr>
        <w:t>Hälsobesöken i elevhälsans medicinska insats/skolhälsovården kan ses som en fortsättning av mödra- och barnhälsovårdens hälsoövervakningsprogram och det är angeläget för skolan att ta till</w:t>
      </w:r>
      <w:r>
        <w:rPr>
          <w:rFonts w:ascii="Garamond" w:hAnsi="Garamond"/>
          <w:sz w:val="24"/>
          <w:szCs w:val="24"/>
        </w:rPr>
        <w:t xml:space="preserve"> </w:t>
      </w:r>
      <w:r w:rsidRPr="00363A1E">
        <w:rPr>
          <w:rFonts w:ascii="Garamond" w:hAnsi="Garamond"/>
          <w:sz w:val="24"/>
          <w:szCs w:val="24"/>
        </w:rPr>
        <w:t>vara den kunskap som barnhälsovården har fått. (Vägledning för elevhälsan från Socialstyrelsen och Skolverket)</w:t>
      </w:r>
    </w:p>
    <w:p w:rsidR="00363A1E" w:rsidRPr="00363A1E" w:rsidRDefault="00363A1E" w:rsidP="00363A1E">
      <w:pPr>
        <w:rPr>
          <w:rFonts w:ascii="Garamond" w:hAnsi="Garamond"/>
          <w:sz w:val="24"/>
          <w:szCs w:val="24"/>
        </w:rPr>
      </w:pPr>
      <w:r w:rsidRPr="00363A1E">
        <w:rPr>
          <w:rFonts w:ascii="Garamond" w:hAnsi="Garamond"/>
          <w:sz w:val="24"/>
          <w:szCs w:val="24"/>
        </w:rPr>
        <w:t>För skolläkare och skolsköterskor gäller samma sekretess som för annan hälso- och sjukvårdspersonal. (25 kap 1§ Offentlighets och sekretesslagen)</w:t>
      </w:r>
    </w:p>
    <w:p w:rsidR="00447827" w:rsidRDefault="00447827" w:rsidP="00363A1E">
      <w:pPr>
        <w:pStyle w:val="Liststycke"/>
        <w:ind w:left="0"/>
        <w:rPr>
          <w:rFonts w:ascii="Garamond" w:eastAsiaTheme="minorHAnsi" w:hAnsi="Garamond"/>
          <w:lang w:eastAsia="en-US"/>
        </w:rPr>
      </w:pPr>
    </w:p>
    <w:p w:rsidR="00363A1E" w:rsidRPr="00363A1E" w:rsidRDefault="00363A1E" w:rsidP="00363A1E">
      <w:pPr>
        <w:pStyle w:val="Liststycke"/>
        <w:ind w:left="0"/>
        <w:rPr>
          <w:rFonts w:ascii="Garamond" w:hAnsi="Garamond" w:cs="Arial"/>
        </w:rPr>
      </w:pPr>
      <w:r w:rsidRPr="00363A1E">
        <w:rPr>
          <w:rFonts w:ascii="Garamond" w:hAnsi="Garamond" w:cs="Arial"/>
        </w:rPr>
        <w:t xml:space="preserve">För </w:t>
      </w:r>
      <w:proofErr w:type="gramStart"/>
      <w:r w:rsidRPr="00363A1E">
        <w:rPr>
          <w:rFonts w:ascii="Garamond" w:hAnsi="Garamond" w:cs="Arial"/>
        </w:rPr>
        <w:t>Svenska</w:t>
      </w:r>
      <w:proofErr w:type="gramEnd"/>
      <w:r w:rsidRPr="00363A1E">
        <w:rPr>
          <w:rFonts w:ascii="Garamond" w:hAnsi="Garamond" w:cs="Arial"/>
        </w:rPr>
        <w:t xml:space="preserve"> skolläkarföreningen SSLF</w:t>
      </w:r>
    </w:p>
    <w:p w:rsidR="00363A1E" w:rsidRPr="00363A1E" w:rsidRDefault="00363A1E" w:rsidP="00363A1E">
      <w:pPr>
        <w:pStyle w:val="Liststycke"/>
        <w:ind w:left="0"/>
        <w:rPr>
          <w:rFonts w:ascii="Garamond" w:hAnsi="Garamond" w:cs="Arial"/>
        </w:rPr>
      </w:pPr>
    </w:p>
    <w:p w:rsidR="00363A1E" w:rsidRPr="00363A1E" w:rsidRDefault="00363A1E" w:rsidP="00363A1E">
      <w:pPr>
        <w:pStyle w:val="Liststycke"/>
        <w:ind w:left="0"/>
        <w:rPr>
          <w:rFonts w:ascii="Garamond" w:hAnsi="Garamond" w:cs="Arial"/>
        </w:rPr>
      </w:pPr>
    </w:p>
    <w:p w:rsidR="00363A1E" w:rsidRPr="00363A1E" w:rsidRDefault="00363A1E" w:rsidP="00363A1E">
      <w:pPr>
        <w:pStyle w:val="Liststycke"/>
        <w:ind w:left="0"/>
        <w:rPr>
          <w:rFonts w:ascii="Garamond" w:hAnsi="Garamond" w:cs="Arial"/>
        </w:rPr>
      </w:pPr>
    </w:p>
    <w:p w:rsidR="00363A1E" w:rsidRPr="00363A1E" w:rsidRDefault="00363A1E" w:rsidP="00363A1E">
      <w:pPr>
        <w:pStyle w:val="Liststycke"/>
        <w:ind w:left="0"/>
        <w:rPr>
          <w:rFonts w:ascii="Garamond" w:hAnsi="Garamond" w:cs="Arial"/>
        </w:rPr>
      </w:pPr>
    </w:p>
    <w:p w:rsidR="00363A1E" w:rsidRPr="00363A1E" w:rsidRDefault="00363A1E" w:rsidP="00363A1E">
      <w:pPr>
        <w:pStyle w:val="Liststycke"/>
        <w:ind w:left="0"/>
        <w:rPr>
          <w:rFonts w:ascii="Garamond" w:hAnsi="Garamond" w:cs="Arial"/>
        </w:rPr>
      </w:pPr>
    </w:p>
    <w:p w:rsidR="00363A1E" w:rsidRPr="00363A1E" w:rsidRDefault="00363A1E" w:rsidP="00363A1E">
      <w:pPr>
        <w:pStyle w:val="Liststycke"/>
        <w:ind w:left="0"/>
        <w:rPr>
          <w:rFonts w:ascii="Garamond" w:hAnsi="Garamond" w:cs="Arial"/>
        </w:rPr>
      </w:pPr>
    </w:p>
    <w:p w:rsidR="00363A1E" w:rsidRPr="00363A1E" w:rsidRDefault="00363A1E" w:rsidP="00363A1E">
      <w:pPr>
        <w:pStyle w:val="Liststycke"/>
        <w:ind w:left="0"/>
        <w:rPr>
          <w:rFonts w:ascii="Garamond" w:hAnsi="Garamond" w:cs="Arial"/>
        </w:rPr>
      </w:pPr>
      <w:r w:rsidRPr="00363A1E">
        <w:rPr>
          <w:rFonts w:ascii="Garamond" w:hAnsi="Garamond" w:cs="Arial"/>
        </w:rPr>
        <w:t>Josef Milerad</w:t>
      </w:r>
      <w:r w:rsidRPr="00363A1E">
        <w:rPr>
          <w:rFonts w:ascii="Garamond" w:hAnsi="Garamond" w:cs="Arial"/>
        </w:rPr>
        <w:tab/>
        <w:t xml:space="preserve">                                                        Helka Widengren</w:t>
      </w:r>
    </w:p>
    <w:p w:rsidR="00363A1E" w:rsidRPr="00363A1E" w:rsidRDefault="00363A1E" w:rsidP="00363A1E">
      <w:pPr>
        <w:pStyle w:val="Liststycke"/>
        <w:ind w:left="0"/>
        <w:rPr>
          <w:rFonts w:ascii="Garamond" w:hAnsi="Garamond" w:cs="Arial"/>
        </w:rPr>
      </w:pPr>
      <w:r w:rsidRPr="00363A1E">
        <w:rPr>
          <w:rFonts w:ascii="Garamond" w:hAnsi="Garamond" w:cs="Arial"/>
        </w:rPr>
        <w:t>Ordförande SSLF</w:t>
      </w:r>
      <w:r w:rsidRPr="00363A1E">
        <w:rPr>
          <w:rFonts w:ascii="Garamond" w:hAnsi="Garamond" w:cs="Arial"/>
        </w:rPr>
        <w:tab/>
        <w:t xml:space="preserve">                                  Vetenskaplig sekreterare SSLF</w:t>
      </w:r>
    </w:p>
    <w:p w:rsidR="00363A1E" w:rsidRDefault="00363A1E" w:rsidP="00363A1E">
      <w:pPr>
        <w:pStyle w:val="Liststycke"/>
        <w:ind w:left="0"/>
        <w:rPr>
          <w:rFonts w:cs="Arial"/>
        </w:rPr>
      </w:pPr>
    </w:p>
    <w:p w:rsidR="00363A1E" w:rsidRDefault="00363A1E" w:rsidP="00363A1E">
      <w:pPr>
        <w:pStyle w:val="Liststycke"/>
        <w:ind w:left="0"/>
        <w:rPr>
          <w:rFonts w:cs="Arial"/>
        </w:rPr>
      </w:pPr>
    </w:p>
    <w:p w:rsidR="00363A1E" w:rsidRDefault="00363A1E" w:rsidP="00363A1E">
      <w:pPr>
        <w:pStyle w:val="Liststycke"/>
        <w:ind w:left="0"/>
        <w:rPr>
          <w:rFonts w:cs="Arial"/>
        </w:rPr>
      </w:pPr>
    </w:p>
    <w:p w:rsidR="00363A1E" w:rsidRDefault="00363A1E" w:rsidP="00363A1E">
      <w:pPr>
        <w:pStyle w:val="Liststycke"/>
        <w:ind w:left="0"/>
        <w:rPr>
          <w:rFonts w:cs="Arial"/>
        </w:rPr>
      </w:pPr>
    </w:p>
    <w:p w:rsidR="00363A1E" w:rsidRDefault="00363A1E" w:rsidP="00363A1E">
      <w:pPr>
        <w:pStyle w:val="Liststycke"/>
        <w:ind w:left="0"/>
        <w:rPr>
          <w:rFonts w:cs="Arial"/>
        </w:rPr>
      </w:pPr>
    </w:p>
    <w:p w:rsidR="00363A1E" w:rsidRDefault="00363A1E" w:rsidP="00363A1E">
      <w:pPr>
        <w:pStyle w:val="Liststycke"/>
        <w:ind w:left="0"/>
        <w:rPr>
          <w:rFonts w:cs="Arial"/>
        </w:rPr>
      </w:pPr>
    </w:p>
    <w:p w:rsidR="00E022D9" w:rsidRPr="00E022D9" w:rsidRDefault="00E022D9" w:rsidP="00E022D9"/>
    <w:sectPr w:rsidR="00E022D9" w:rsidRPr="00E022D9" w:rsidSect="0063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1E"/>
    <w:rsid w:val="001F1B7A"/>
    <w:rsid w:val="00280341"/>
    <w:rsid w:val="00363A1E"/>
    <w:rsid w:val="00406554"/>
    <w:rsid w:val="00447827"/>
    <w:rsid w:val="00636A94"/>
    <w:rsid w:val="00636E9E"/>
    <w:rsid w:val="00851A01"/>
    <w:rsid w:val="00862332"/>
    <w:rsid w:val="0089353F"/>
    <w:rsid w:val="009B1D82"/>
    <w:rsid w:val="00A10807"/>
    <w:rsid w:val="00A66299"/>
    <w:rsid w:val="00A932CF"/>
    <w:rsid w:val="00D477D2"/>
    <w:rsid w:val="00E022D9"/>
    <w:rsid w:val="00E23338"/>
    <w:rsid w:val="00E50AC2"/>
    <w:rsid w:val="00FF2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FAB8"/>
  <w15:chartTrackingRefBased/>
  <w15:docId w15:val="{09513A56-51EA-4B1D-ACB0-6798A2FE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A1E"/>
  </w:style>
  <w:style w:type="paragraph" w:styleId="Rubrik1">
    <w:name w:val="heading 1"/>
    <w:aliases w:val="Huvudrubrik"/>
    <w:basedOn w:val="Normal"/>
    <w:next w:val="Normal"/>
    <w:link w:val="Rubrik1Char"/>
    <w:uiPriority w:val="9"/>
    <w:qFormat/>
    <w:rsid w:val="00E022D9"/>
    <w:pPr>
      <w:keepNext/>
      <w:keepLines/>
      <w:spacing w:before="480" w:after="0" w:line="280" w:lineRule="atLeast"/>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after="0" w:line="28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after="0" w:line="280" w:lineRule="atLeast"/>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after="0" w:line="280" w:lineRule="atLeast"/>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spacing w:after="0" w:line="280" w:lineRule="atLeast"/>
      <w:contextualSpacing/>
    </w:pPr>
    <w:rPr>
      <w:sz w:val="24"/>
    </w:r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after="0" w:line="280" w:lineRule="atLeast"/>
      <w:outlineLvl w:val="2"/>
    </w:pPr>
    <w:rPr>
      <w:rFonts w:asciiTheme="majorHAnsi" w:eastAsiaTheme="majorEastAsia" w:hAnsiTheme="majorHAnsi" w:cstheme="majorBidi"/>
      <w:b/>
      <w:iCs/>
      <w:spacing w:val="15"/>
      <w:sz w:val="24"/>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line="280" w:lineRule="atLeast"/>
    </w:pPr>
    <w:rPr>
      <w:sz w:val="24"/>
    </w:r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Liststycke">
    <w:name w:val="List Paragraph"/>
    <w:basedOn w:val="Normal"/>
    <w:uiPriority w:val="34"/>
    <w:qFormat/>
    <w:rsid w:val="00363A1E"/>
    <w:pPr>
      <w:spacing w:after="0" w:line="240" w:lineRule="auto"/>
      <w:ind w:left="720"/>
      <w:contextualSpacing/>
    </w:pPr>
    <w:rPr>
      <w:rFonts w:eastAsiaTheme="minorEastAsia"/>
      <w:sz w:val="24"/>
      <w:szCs w:val="24"/>
      <w:lang w:eastAsia="sv-SE"/>
    </w:rPr>
  </w:style>
  <w:style w:type="table" w:styleId="Tabellrutnt">
    <w:name w:val="Table Grid"/>
    <w:basedOn w:val="Normaltabell"/>
    <w:uiPriority w:val="59"/>
    <w:rsid w:val="00363A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546</Words>
  <Characters>2895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Widengren</dc:creator>
  <cp:keywords/>
  <dc:description/>
  <cp:lastModifiedBy>Helka Widengren</cp:lastModifiedBy>
  <cp:revision>5</cp:revision>
  <dcterms:created xsi:type="dcterms:W3CDTF">2019-06-04T13:43:00Z</dcterms:created>
  <dcterms:modified xsi:type="dcterms:W3CDTF">2019-06-09T11:02:00Z</dcterms:modified>
</cp:coreProperties>
</file>